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44B1A9F6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r w:rsidRPr="003B3420">
        <w:rPr>
          <w:b/>
          <w:sz w:val="28"/>
          <w:szCs w:val="28"/>
        </w:rPr>
        <w:t>„</w:t>
      </w:r>
      <w:r w:rsidR="008B2AFC" w:rsidRPr="003B3420">
        <w:rPr>
          <w:b/>
          <w:sz w:val="28"/>
          <w:szCs w:val="28"/>
        </w:rPr>
        <w:t xml:space="preserve">Projektová příprava </w:t>
      </w:r>
      <w:permStart w:id="77622008" w:edGrp="everyone"/>
      <w:r w:rsidR="00200130">
        <w:rPr>
          <w:b/>
          <w:sz w:val="28"/>
          <w:szCs w:val="28"/>
        </w:rPr>
        <w:t xml:space="preserve">na rekonstrukci komunikace </w:t>
      </w:r>
      <w:r w:rsidR="0087666B">
        <w:rPr>
          <w:b/>
          <w:sz w:val="28"/>
          <w:szCs w:val="28"/>
        </w:rPr>
        <w:t>Irkutská x Erbenova</w:t>
      </w:r>
      <w:r w:rsidR="002B3F44">
        <w:rPr>
          <w:b/>
          <w:sz w:val="28"/>
          <w:szCs w:val="28"/>
        </w:rPr>
        <w:t>, Liberec</w:t>
      </w:r>
      <w:r w:rsidRPr="003B3420">
        <w:rPr>
          <w:b/>
          <w:szCs w:val="24"/>
        </w:rPr>
        <w:t>“</w:t>
      </w:r>
      <w:permEnd w:id="77622008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  <w:permEnd w:id="1676608927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0A8673E4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E50F6E">
        <w:rPr>
          <w:szCs w:val="24"/>
        </w:rPr>
        <w:t xml:space="preserve">Ing. arch. Ing. Jiřím </w:t>
      </w:r>
      <w:proofErr w:type="spellStart"/>
      <w:r w:rsidR="00E50F6E">
        <w:rPr>
          <w:szCs w:val="24"/>
        </w:rPr>
        <w:t>Janďourkem</w:t>
      </w:r>
      <w:permEnd w:id="993883064"/>
      <w:proofErr w:type="spellEnd"/>
      <w:r w:rsidR="003B3420">
        <w:rPr>
          <w:szCs w:val="24"/>
        </w:rPr>
        <w:t xml:space="preserve">, náměstkem primátora </w:t>
      </w:r>
      <w:permStart w:id="184425443" w:edGrp="everyone"/>
      <w:r w:rsidR="00E50F6E">
        <w:rPr>
          <w:szCs w:val="24"/>
        </w:rPr>
        <w:t>pro architekturu, veřejný prostor a dopravní stavby</w:t>
      </w:r>
      <w:permEnd w:id="184425443"/>
      <w:r w:rsidR="00696D52" w:rsidRPr="003B3420">
        <w:rPr>
          <w:szCs w:val="24"/>
        </w:rPr>
        <w:t xml:space="preserve"> </w:t>
      </w:r>
    </w:p>
    <w:p w14:paraId="14E06F3E" w14:textId="0B29910D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95291318" w:edGrp="everyone"/>
      <w:r w:rsidR="00200130">
        <w:rPr>
          <w:szCs w:val="24"/>
        </w:rPr>
        <w:t>Kristýnou Růžičkovou, pověřenou zastupováním funkce vedoucí oddělení investic</w:t>
      </w:r>
      <w:permEnd w:id="79529131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6D36FA">
        <w:rPr>
          <w:b/>
          <w:szCs w:val="24"/>
        </w:rPr>
        <w:t>…………………………………..</w:t>
      </w:r>
      <w:permEnd w:id="34434662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44149229" w:edGrp="everyone"/>
      <w:r w:rsidR="006D36FA">
        <w:rPr>
          <w:szCs w:val="24"/>
        </w:rPr>
        <w:t>…………………………………..</w:t>
      </w:r>
      <w:permEnd w:id="444149229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6D36FA">
        <w:rPr>
          <w:szCs w:val="24"/>
        </w:rPr>
        <w:t>…………………………………..</w:t>
      </w:r>
      <w:permEnd w:id="46609864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1640569716" w:edGrp="everyone"/>
      <w:r w:rsidR="006D36FA">
        <w:rPr>
          <w:szCs w:val="24"/>
        </w:rPr>
        <w:t>…………………………………..</w:t>
      </w:r>
      <w:permEnd w:id="1640569716"/>
    </w:p>
    <w:p w14:paraId="3E039E9E" w14:textId="452E12A5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6D36FA">
        <w:rPr>
          <w:szCs w:val="24"/>
        </w:rPr>
        <w:t>…………………………………..</w:t>
      </w:r>
      <w:permEnd w:id="945843648"/>
    </w:p>
    <w:p w14:paraId="2BE8EDC3" w14:textId="77BC3E7D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6D36FA">
        <w:rPr>
          <w:szCs w:val="24"/>
        </w:rPr>
        <w:t>…………………………………..</w:t>
      </w:r>
      <w:permEnd w:id="1910198743"/>
    </w:p>
    <w:p w14:paraId="21F62DEE" w14:textId="7FC61EA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2000891969" w:edGrp="everyone"/>
      <w:r w:rsidR="006D36FA">
        <w:rPr>
          <w:szCs w:val="24"/>
        </w:rPr>
        <w:t>…………………………………..</w:t>
      </w:r>
      <w:r w:rsidRPr="00E11435">
        <w:rPr>
          <w:szCs w:val="24"/>
        </w:rPr>
        <w:tab/>
      </w:r>
      <w:permEnd w:id="2000891969"/>
      <w:r w:rsidRPr="00E11435">
        <w:rPr>
          <w:szCs w:val="24"/>
        </w:rPr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permStart w:id="1633757966" w:edGrp="everyone"/>
      <w:r w:rsidR="00354AEB">
        <w:rPr>
          <w:szCs w:val="24"/>
        </w:rPr>
        <w:t xml:space="preserve">   </w:t>
      </w:r>
      <w:r w:rsidR="006D36FA">
        <w:rPr>
          <w:szCs w:val="24"/>
        </w:rPr>
        <w:t>…………………………………..</w:t>
      </w:r>
      <w:permEnd w:id="1633757966"/>
    </w:p>
    <w:p w14:paraId="276EB736" w14:textId="0685CACE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permStart w:id="970397958" w:edGrp="everyone"/>
      <w:r w:rsidR="000E1CE0">
        <w:rPr>
          <w:szCs w:val="24"/>
        </w:rPr>
        <w:t>……………</w:t>
      </w:r>
      <w:r w:rsidR="00354AEB">
        <w:rPr>
          <w:szCs w:val="24"/>
        </w:rPr>
        <w:t xml:space="preserve"> </w:t>
      </w:r>
      <w:permEnd w:id="970397958"/>
      <w:r w:rsidR="00354AEB">
        <w:rPr>
          <w:szCs w:val="24"/>
        </w:rPr>
        <w:t>soudu v </w:t>
      </w:r>
      <w:permStart w:id="128077148" w:edGrp="everyone"/>
      <w:r w:rsidR="006D36FA">
        <w:rPr>
          <w:szCs w:val="24"/>
        </w:rPr>
        <w:t>…………</w:t>
      </w:r>
      <w:permEnd w:id="128077148"/>
      <w:r w:rsidR="00354AEB">
        <w:rPr>
          <w:szCs w:val="24"/>
        </w:rPr>
        <w:t xml:space="preserve">, oddíl </w:t>
      </w:r>
      <w:permStart w:id="2128740444" w:edGrp="everyone"/>
      <w:r w:rsidR="006D36FA">
        <w:rPr>
          <w:szCs w:val="24"/>
        </w:rPr>
        <w:t>……</w:t>
      </w:r>
      <w:permEnd w:id="2128740444"/>
      <w:r w:rsidR="006D36FA">
        <w:rPr>
          <w:szCs w:val="24"/>
        </w:rPr>
        <w:t>,</w:t>
      </w:r>
      <w:r w:rsidR="00354AEB">
        <w:rPr>
          <w:szCs w:val="24"/>
        </w:rPr>
        <w:t xml:space="preserve"> vložka </w:t>
      </w:r>
      <w:permStart w:id="1884906118" w:edGrp="everyone"/>
      <w:r w:rsidR="006D36FA">
        <w:rPr>
          <w:szCs w:val="24"/>
        </w:rPr>
        <w:t>……………</w:t>
      </w:r>
      <w:proofErr w:type="gramStart"/>
      <w:r w:rsidR="006D36FA">
        <w:rPr>
          <w:szCs w:val="24"/>
        </w:rPr>
        <w:t>…..</w:t>
      </w:r>
      <w:permEnd w:id="1884906118"/>
      <w:proofErr w:type="gramEnd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3B85E2D0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E50F6E">
        <w:rPr>
          <w:b/>
          <w:szCs w:val="24"/>
        </w:rPr>
        <w:t xml:space="preserve">Projektová příprava na rekonstrukci </w:t>
      </w:r>
      <w:r w:rsidR="009747F2">
        <w:rPr>
          <w:b/>
          <w:szCs w:val="24"/>
        </w:rPr>
        <w:t>komunikace Irkutská x Erbenova</w:t>
      </w:r>
      <w:r w:rsidR="00E50F6E">
        <w:rPr>
          <w:b/>
          <w:szCs w:val="24"/>
        </w:rPr>
        <w:t>, Liberec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 xml:space="preserve">pro provedení stavby a pro výběr jejího zhotovitele.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75EC5B35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E50F6E">
        <w:t xml:space="preserve">povolení stavby, dokumentace pro provádění stavby, vypracování položkového výkazu výměr a rozpočtu, inženýrská činnost, autorský dozor, pro rekonstrukci ulice </w:t>
      </w:r>
      <w:r w:rsidR="009747F2">
        <w:t>Irkutská x Erbenova</w:t>
      </w:r>
      <w:permEnd w:id="555104937"/>
      <w:r w:rsidR="003101D3">
        <w:t xml:space="preserve"> za podmínek stanovených touto smlouvou a zadávací dokumentací pro veřejnou zakázku malého rozsahu</w:t>
      </w:r>
      <w:r w:rsidR="003101D3" w:rsidRPr="003101D3">
        <w:t xml:space="preserve"> </w:t>
      </w:r>
      <w:permStart w:id="2038266167" w:edGrp="everyone"/>
      <w:r w:rsidR="003101D3" w:rsidRPr="00CC3EF9">
        <w:rPr>
          <w:szCs w:val="24"/>
        </w:rPr>
        <w:t>„</w:t>
      </w:r>
      <w:r w:rsidR="00A56D8E">
        <w:rPr>
          <w:szCs w:val="24"/>
        </w:rPr>
        <w:t xml:space="preserve">Projektová dokumentace na rekonstrukci </w:t>
      </w:r>
      <w:r w:rsidR="009747F2">
        <w:rPr>
          <w:szCs w:val="24"/>
        </w:rPr>
        <w:t>komunikace Irkutská x Erbenova, Liberec</w:t>
      </w:r>
      <w:r w:rsidR="003101D3" w:rsidRPr="00CC3EF9">
        <w:rPr>
          <w:szCs w:val="24"/>
        </w:rPr>
        <w:t>“</w:t>
      </w:r>
      <w:r w:rsidR="003101D3">
        <w:rPr>
          <w:szCs w:val="24"/>
        </w:rPr>
        <w:t xml:space="preserve"> </w:t>
      </w:r>
      <w:permEnd w:id="2038266167"/>
      <w:r w:rsidR="003101D3">
        <w:rPr>
          <w:szCs w:val="24"/>
        </w:rPr>
        <w:t>(dále jen „Zadávací dokumentace“)</w:t>
      </w:r>
      <w:r w:rsidR="00870A14">
        <w:rPr>
          <w:szCs w:val="24"/>
        </w:rPr>
        <w:t>,</w:t>
      </w:r>
      <w:r w:rsidR="003101D3">
        <w:rPr>
          <w:szCs w:val="24"/>
        </w:rPr>
        <w:t xml:space="preserve"> 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dokumentace pro </w:t>
      </w:r>
      <w:r w:rsidR="00515B4B">
        <w:t xml:space="preserve">povolení </w:t>
      </w:r>
      <w:r w:rsidR="006D36FA">
        <w:t>záměru (</w:t>
      </w:r>
      <w:r w:rsidR="00515B4B">
        <w:t>stavby</w:t>
      </w:r>
      <w:r w:rsidR="006D36FA">
        <w:t>)</w:t>
      </w:r>
      <w:r w:rsidR="00515B4B">
        <w:t>,</w:t>
      </w:r>
      <w:r w:rsidR="009761C2">
        <w:t xml:space="preserve"> dále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příslušných prováděcích předpisů.</w:t>
      </w:r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25E01BFC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A56D8E">
        <w:rPr>
          <w:szCs w:val="24"/>
        </w:rPr>
        <w:t xml:space="preserve">rekonstrukce komunikace </w:t>
      </w:r>
      <w:r w:rsidR="00F0101A">
        <w:rPr>
          <w:szCs w:val="24"/>
        </w:rPr>
        <w:t>Irkutská x Erbenova v úseku od křižovatky s ul. Píseckou po křižovatku s ul. Ještědskou.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351988C5" w14:textId="5CFA1181" w:rsidR="006D36FA" w:rsidRDefault="00404F3E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permStart w:id="751523529" w:edGrp="everyone"/>
      <w:r>
        <w:rPr>
          <w:rFonts w:cstheme="minorHAnsi"/>
          <w:szCs w:val="24"/>
        </w:rPr>
        <w:t xml:space="preserve">Předmětem plnění veřejné zakázky je vyhotovení projektové dokumentace ve stupních projektové dokumentace pro povolení stavby (dále také jen „DSP“) a projektové dokumentace pro provádění stavby (dále také jen „DPS“), autorský dozor, inženýrská činnost. Dokumentace řeší opravu povrchu stávající vozovky místní obslužné komunikace ul. Irkutská a Erbenova v úseku od křižovatky s ul. Píseckou po křižovatku s ul. Ještědskou, rekonstrukci chodníku, návrh dostavby chodníku od ul. Písecké ke křižovatce Irkutská x Erbenova (po ul. Erbenova), návrh dopravního řešení křižovatky, napojení odvodnění chodníku a komunikace do stávající kanalizace, </w:t>
      </w:r>
      <w:r w:rsidRPr="00833203">
        <w:rPr>
          <w:rFonts w:cstheme="minorHAnsi"/>
          <w:szCs w:val="24"/>
        </w:rPr>
        <w:t xml:space="preserve">autorský dozor </w:t>
      </w:r>
      <w:r>
        <w:rPr>
          <w:rFonts w:cstheme="minorHAnsi"/>
          <w:szCs w:val="24"/>
        </w:rPr>
        <w:t xml:space="preserve">projektanta </w:t>
      </w:r>
      <w:r w:rsidRPr="00833203">
        <w:rPr>
          <w:rFonts w:cstheme="minorHAnsi"/>
          <w:szCs w:val="24"/>
        </w:rPr>
        <w:t>při výstavbě</w:t>
      </w:r>
      <w:r>
        <w:rPr>
          <w:rFonts w:cstheme="minorHAnsi"/>
          <w:szCs w:val="24"/>
        </w:rPr>
        <w:t xml:space="preserve"> v rozsahu minimálně 1x týdně po celou dobu realizace stavebních úprav</w:t>
      </w:r>
      <w:r w:rsidR="00A56D8E">
        <w:rPr>
          <w:szCs w:val="24"/>
        </w:rPr>
        <w:t>.</w:t>
      </w:r>
      <w:permEnd w:id="751523529"/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14FD3D5B" w14:textId="1781231E" w:rsidR="00DE3642" w:rsidRPr="003B3420" w:rsidRDefault="00DE3642" w:rsidP="003B3420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 w:rsidR="000135AF">
        <w:rPr>
          <w:b/>
          <w:szCs w:val="24"/>
        </w:rPr>
        <w:t>povolení stavby</w:t>
      </w:r>
      <w:r w:rsidRPr="003B3420">
        <w:rPr>
          <w:b/>
          <w:szCs w:val="24"/>
        </w:rPr>
        <w:t xml:space="preserve">: </w:t>
      </w:r>
    </w:p>
    <w:p w14:paraId="5098E7B0" w14:textId="38887970" w:rsidR="00DE3642" w:rsidRPr="003B3420" w:rsidRDefault="00DE3642" w:rsidP="003B3420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 w:rsidR="00B6341F">
        <w:rPr>
          <w:szCs w:val="24"/>
        </w:rPr>
        <w:t xml:space="preserve"> stavby</w:t>
      </w:r>
      <w:r w:rsidRPr="003B3420">
        <w:rPr>
          <w:szCs w:val="24"/>
        </w:rPr>
        <w:t xml:space="preserve"> </w:t>
      </w:r>
      <w:r w:rsidR="00B6341F">
        <w:rPr>
          <w:szCs w:val="24"/>
        </w:rPr>
        <w:t>ve smyslu § 158 zákona</w:t>
      </w:r>
      <w:r w:rsidR="001E44E0">
        <w:rPr>
          <w:szCs w:val="24"/>
        </w:rPr>
        <w:t xml:space="preserve"> č.</w:t>
      </w:r>
      <w:r w:rsidR="00B6341F">
        <w:rPr>
          <w:szCs w:val="24"/>
        </w:rPr>
        <w:t xml:space="preserve"> 283/2021 Sb., stavební zákon, ve znění pozdějších předpisů </w:t>
      </w:r>
      <w:r w:rsidR="003101D3">
        <w:rPr>
          <w:szCs w:val="24"/>
        </w:rPr>
        <w:t>(dále jen „stavební zákon“)</w:t>
      </w:r>
      <w:r w:rsidR="00B93DA1">
        <w:rPr>
          <w:szCs w:val="24"/>
        </w:rPr>
        <w:t>,</w:t>
      </w:r>
      <w:r w:rsidR="00A35093">
        <w:rPr>
          <w:szCs w:val="24"/>
        </w:rPr>
        <w:t xml:space="preserve"> </w:t>
      </w:r>
      <w:r w:rsidRPr="003B3420">
        <w:rPr>
          <w:szCs w:val="24"/>
        </w:rPr>
        <w:t xml:space="preserve">musí splňovat náležitosti stanovené </w:t>
      </w:r>
      <w:r w:rsidR="001E44E0">
        <w:rPr>
          <w:szCs w:val="24"/>
        </w:rPr>
        <w:t xml:space="preserve">příslušnými prováděcími předpisy. 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7777777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Ú</w:t>
      </w:r>
      <w:r>
        <w:rPr>
          <w:szCs w:val="24"/>
        </w:rPr>
        <w:t>RS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186D7D46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 xml:space="preserve">ani položkový výkaz výměr nesmí obsahovat požadavky nebo odkazy na obchodní firmy, názvy nebo jména, specifická označení zboží a služeb apod., které platí pro určitou osobu za příznačné, pokud by to vedlo ke </w:t>
      </w:r>
      <w:r w:rsidRPr="00897AF5">
        <w:rPr>
          <w:szCs w:val="24"/>
        </w:rPr>
        <w:lastRenderedPageBreak/>
        <w:t>zvýhodnění nebo vyloučení určitých dodavatelů nebo výrobků (mimo jiné viz pokyny poskytovatele dotace na energetické úspory Státního fondu životního prostředí, Modernizační fond).</w:t>
      </w:r>
    </w:p>
    <w:p w14:paraId="5C2578EE" w14:textId="2F489C6F" w:rsidR="00DC7597" w:rsidRDefault="00DC7597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 w:rsidRPr="003B1792">
        <w:rPr>
          <w:b/>
          <w:szCs w:val="24"/>
        </w:rPr>
        <w:t>Další součástí</w:t>
      </w:r>
      <w:r w:rsidR="005F28FE" w:rsidRPr="003B1792">
        <w:rPr>
          <w:b/>
          <w:szCs w:val="24"/>
        </w:rPr>
        <w:t xml:space="preserve"> plnění</w:t>
      </w:r>
      <w:r w:rsidR="00DE3642" w:rsidRPr="003B1792">
        <w:rPr>
          <w:b/>
          <w:szCs w:val="24"/>
        </w:rPr>
        <w:t xml:space="preserve"> dle této smlouvy je</w:t>
      </w:r>
      <w:r w:rsidR="00A43C2A" w:rsidRPr="003B1792">
        <w:rPr>
          <w:b/>
          <w:szCs w:val="24"/>
        </w:rPr>
        <w:t xml:space="preserve"> i</w:t>
      </w:r>
      <w:r w:rsidR="00DC3536" w:rsidRPr="003B1792">
        <w:rPr>
          <w:b/>
          <w:szCs w:val="24"/>
        </w:rPr>
        <w:t>nženýrská činnost</w:t>
      </w:r>
      <w:r w:rsidR="00DC3536" w:rsidRPr="003B1792">
        <w:rPr>
          <w:szCs w:val="24"/>
        </w:rPr>
        <w:t xml:space="preserve"> </w:t>
      </w:r>
      <w:r w:rsidR="00DC3536" w:rsidRPr="003B1792">
        <w:rPr>
          <w:b/>
          <w:szCs w:val="24"/>
        </w:rPr>
        <w:t>(IČ)</w:t>
      </w:r>
      <w:r w:rsidR="00897AF5" w:rsidRPr="003B1792">
        <w:rPr>
          <w:b/>
          <w:szCs w:val="24"/>
        </w:rPr>
        <w:t xml:space="preserve">, </w:t>
      </w:r>
      <w:r w:rsidR="00897AF5" w:rsidRPr="003B1792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3B1792">
        <w:rPr>
          <w:b/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1B5BAF39" w:rsidR="003B1792" w:rsidRPr="003B1792" w:rsidRDefault="003B1792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620640637" w:edGrp="everyone"/>
      <w:r w:rsidR="00E50F6E">
        <w:rPr>
          <w:szCs w:val="24"/>
        </w:rPr>
        <w:t>1</w:t>
      </w:r>
      <w:permEnd w:id="620640637"/>
      <w:r>
        <w:rPr>
          <w:szCs w:val="24"/>
        </w:rPr>
        <w:t xml:space="preserve"> x týdně po celou dobu realizace stavby.</w:t>
      </w:r>
    </w:p>
    <w:p w14:paraId="65A9CFEA" w14:textId="78A75EB3" w:rsidR="00B2346B" w:rsidRPr="003B3420" w:rsidRDefault="00DC3536" w:rsidP="003B3420">
      <w:pPr>
        <w:ind w:left="426"/>
        <w:jc w:val="both"/>
        <w:outlineLvl w:val="1"/>
        <w:rPr>
          <w:szCs w:val="24"/>
        </w:rPr>
      </w:pPr>
      <w:r w:rsidRPr="003B3420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09BA20BF" w14:textId="3704E08F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jsou </w:t>
      </w:r>
      <w:r w:rsidR="00235E63" w:rsidRPr="003B3420">
        <w:rPr>
          <w:szCs w:val="24"/>
        </w:rPr>
        <w:t xml:space="preserve">stavební </w:t>
      </w:r>
      <w:r w:rsidRPr="003B3420">
        <w:rPr>
          <w:szCs w:val="24"/>
        </w:rPr>
        <w:t xml:space="preserve">průzkumy </w:t>
      </w:r>
      <w:r w:rsidR="00235E63" w:rsidRPr="003B3420">
        <w:rPr>
          <w:szCs w:val="24"/>
        </w:rPr>
        <w:t>konstrukcí, průzkumy a zaměře</w:t>
      </w:r>
      <w:r w:rsidR="00287F8B" w:rsidRPr="003B3420">
        <w:rPr>
          <w:szCs w:val="24"/>
        </w:rPr>
        <w:t>ní zpracovávaných částí objektů</w:t>
      </w:r>
      <w:r w:rsidR="00235E63" w:rsidRPr="003B3420">
        <w:rPr>
          <w:szCs w:val="24"/>
        </w:rPr>
        <w:t>.</w:t>
      </w:r>
    </w:p>
    <w:p w14:paraId="41C6EBF6" w14:textId="370E936D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459D9301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ED63E1">
        <w:rPr>
          <w:szCs w:val="24"/>
        </w:rPr>
        <w:t>3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0CFE480C" w14:textId="4E819577" w:rsidR="006D36FA" w:rsidRPr="003B3420" w:rsidRDefault="00B55793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permStart w:id="1045631808" w:edGrp="everyone"/>
      <w:r>
        <w:rPr>
          <w:szCs w:val="24"/>
        </w:rPr>
        <w:t>71300000-1 Technicko-inženýrské služby</w:t>
      </w:r>
    </w:p>
    <w:p w14:paraId="167C347F" w14:textId="4F421926" w:rsidR="006D36FA" w:rsidRPr="003B3420" w:rsidRDefault="00B55793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71541000-2 Řízení stavebních projektů</w:t>
      </w:r>
    </w:p>
    <w:p w14:paraId="4F5442BF" w14:textId="6E1FEA60" w:rsidR="006D36FA" w:rsidRPr="003B3420" w:rsidRDefault="00B55793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712</w:t>
      </w:r>
      <w:r w:rsidR="009B3A60">
        <w:rPr>
          <w:szCs w:val="24"/>
        </w:rPr>
        <w:t>4</w:t>
      </w:r>
      <w:r>
        <w:rPr>
          <w:szCs w:val="24"/>
        </w:rPr>
        <w:t>80</w:t>
      </w:r>
      <w:r w:rsidR="00E95F94">
        <w:rPr>
          <w:szCs w:val="24"/>
        </w:rPr>
        <w:t>00-8 Dohled nad projektem a doku</w:t>
      </w:r>
      <w:r>
        <w:rPr>
          <w:szCs w:val="24"/>
        </w:rPr>
        <w:t>mentací</w:t>
      </w:r>
    </w:p>
    <w:permEnd w:id="1045631808"/>
    <w:p w14:paraId="362838EE" w14:textId="3B6F0B9A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2346B" w:rsidRPr="003B3420">
        <w:rPr>
          <w:szCs w:val="24"/>
        </w:rPr>
        <w:t>5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3BA48FE1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4.6</w:t>
      </w:r>
      <w:r w:rsidR="00F12B10" w:rsidRPr="003B3420">
        <w:rPr>
          <w:szCs w:val="24"/>
        </w:rPr>
        <w:tab/>
      </w:r>
      <w:r w:rsidRPr="003B3420">
        <w:rPr>
          <w:szCs w:val="24"/>
        </w:rPr>
        <w:t xml:space="preserve">Dokumentace </w:t>
      </w:r>
      <w:r w:rsidR="00897AF5">
        <w:rPr>
          <w:szCs w:val="24"/>
        </w:rPr>
        <w:t>pro povolení stavby</w:t>
      </w:r>
      <w:r w:rsidR="00287F8B" w:rsidRPr="003B3420">
        <w:rPr>
          <w:szCs w:val="24"/>
        </w:rPr>
        <w:t xml:space="preserve"> bude zpracována v</w:t>
      </w:r>
      <w:r w:rsidR="006372C4">
        <w:rPr>
          <w:szCs w:val="24"/>
        </w:rPr>
        <w:t>e</w:t>
      </w:r>
      <w:r w:rsidR="00287F8B" w:rsidRPr="003B3420">
        <w:rPr>
          <w:szCs w:val="24"/>
        </w:rPr>
        <w:t> </w:t>
      </w:r>
      <w:r w:rsidR="006372C4">
        <w:rPr>
          <w:szCs w:val="24"/>
        </w:rPr>
        <w:t>3</w:t>
      </w:r>
      <w:r w:rsidR="00F56DA3">
        <w:rPr>
          <w:szCs w:val="24"/>
        </w:rPr>
        <w:t xml:space="preserve"> tištěných pare</w:t>
      </w:r>
      <w:r w:rsidRPr="003B3420">
        <w:rPr>
          <w:szCs w:val="24"/>
        </w:rPr>
        <w:t xml:space="preserve"> a </w:t>
      </w:r>
      <w:r w:rsidR="00287F8B" w:rsidRPr="003B3420">
        <w:rPr>
          <w:szCs w:val="24"/>
        </w:rPr>
        <w:t>2</w:t>
      </w:r>
      <w:r w:rsidRPr="003B3420">
        <w:rPr>
          <w:szCs w:val="24"/>
        </w:rPr>
        <w:t>x v elektronické verzi DWG a PDF. 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6372C4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77777777" w:rsidR="009B3633" w:rsidRPr="003B3420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76094421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9B3A60">
        <w:rPr>
          <w:b/>
          <w:szCs w:val="24"/>
          <w:lang w:eastAsia="ar-SA"/>
        </w:rPr>
        <w:t>5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5BC6BE1" w14:textId="002A7EC1" w:rsidR="00986D1A" w:rsidRPr="00ED63E1" w:rsidRDefault="00ED63E1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permStart w:id="1443570475" w:edGrp="everyone"/>
      <w:r w:rsidRPr="00ED63E1">
        <w:rPr>
          <w:b/>
        </w:rPr>
        <w:t xml:space="preserve">Zaslání konceptu DSP nejpozději do </w:t>
      </w:r>
      <w:r w:rsidR="009B3A60">
        <w:rPr>
          <w:b/>
        </w:rPr>
        <w:t>3</w:t>
      </w:r>
      <w:r w:rsidRPr="00ED63E1">
        <w:rPr>
          <w:b/>
        </w:rPr>
        <w:t xml:space="preserve">0 </w:t>
      </w:r>
      <w:r w:rsidR="004D3DAC" w:rsidRPr="00ED63E1">
        <w:rPr>
          <w:b/>
        </w:rPr>
        <w:t>kalendářních</w:t>
      </w:r>
      <w:r w:rsidR="006E0D36" w:rsidRPr="00ED63E1">
        <w:rPr>
          <w:b/>
        </w:rPr>
        <w:t xml:space="preserve"> dnů od </w:t>
      </w:r>
      <w:r w:rsidRPr="00ED63E1">
        <w:rPr>
          <w:b/>
        </w:rPr>
        <w:t>nabytí účinnosti smlouvy</w:t>
      </w:r>
      <w:r w:rsidR="00DA605E" w:rsidRPr="00ED63E1">
        <w:rPr>
          <w:b/>
        </w:rPr>
        <w:t>.</w:t>
      </w:r>
      <w:r w:rsidR="00CB737B" w:rsidRPr="00ED63E1">
        <w:rPr>
          <w:b/>
        </w:rPr>
        <w:t xml:space="preserve"> </w:t>
      </w:r>
    </w:p>
    <w:p w14:paraId="16E6CEDD" w14:textId="03C1D732" w:rsidR="006E0D36" w:rsidRDefault="00ED63E1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ED63E1">
        <w:rPr>
          <w:b/>
        </w:rPr>
        <w:t xml:space="preserve">Dokončení a předání DSP včetně zpracovaného rozpočtu </w:t>
      </w:r>
      <w:r w:rsidR="006E0D36" w:rsidRPr="00ED63E1">
        <w:rPr>
          <w:b/>
        </w:rPr>
        <w:t xml:space="preserve">do </w:t>
      </w:r>
      <w:r w:rsidR="009B3A60">
        <w:rPr>
          <w:b/>
        </w:rPr>
        <w:t>9</w:t>
      </w:r>
      <w:r w:rsidRPr="00ED63E1">
        <w:rPr>
          <w:b/>
        </w:rPr>
        <w:t>0</w:t>
      </w:r>
      <w:r w:rsidR="004D3DAC" w:rsidRPr="00ED63E1">
        <w:rPr>
          <w:b/>
        </w:rPr>
        <w:t xml:space="preserve"> kalendářních</w:t>
      </w:r>
      <w:r w:rsidR="006E0D36" w:rsidRPr="00ED63E1">
        <w:rPr>
          <w:b/>
        </w:rPr>
        <w:t xml:space="preserve"> dnů od </w:t>
      </w:r>
      <w:r w:rsidR="00DA605E" w:rsidRPr="00ED63E1">
        <w:rPr>
          <w:b/>
        </w:rPr>
        <w:t>obdržení</w:t>
      </w:r>
      <w:r w:rsidR="003B1792" w:rsidRPr="00ED63E1">
        <w:rPr>
          <w:b/>
        </w:rPr>
        <w:t xml:space="preserve"> písemného </w:t>
      </w:r>
      <w:r w:rsidRPr="00ED63E1">
        <w:rPr>
          <w:b/>
        </w:rPr>
        <w:t>souhlasu konceptu DSP objednatelem</w:t>
      </w:r>
    </w:p>
    <w:p w14:paraId="3E694C57" w14:textId="1AB7D0B8" w:rsidR="00E87C19" w:rsidRPr="00E87C19" w:rsidRDefault="00E87C19" w:rsidP="00E87C19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 w:after="160" w:line="254" w:lineRule="auto"/>
        <w:jc w:val="both"/>
        <w:textAlignment w:val="auto"/>
      </w:pPr>
      <w:r>
        <w:rPr>
          <w:b/>
        </w:rPr>
        <w:t>P</w:t>
      </w:r>
      <w:bookmarkStart w:id="0" w:name="_GoBack"/>
      <w:bookmarkEnd w:id="0"/>
      <w:r>
        <w:rPr>
          <w:b/>
        </w:rPr>
        <w:t xml:space="preserve">odání žádosti o povolení stavby na stavební úřad nejpozději do 60 kalendářních dnů </w:t>
      </w:r>
      <w:r>
        <w:t>od odevzdání DSP včetně podání žádosti o stanoviska dotčených orgánů</w:t>
      </w:r>
    </w:p>
    <w:p w14:paraId="1962927F" w14:textId="57E63AFD" w:rsidR="00ED63E1" w:rsidRDefault="00ED63E1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>
        <w:rPr>
          <w:b/>
        </w:rPr>
        <w:t>Dokončení a předání DPS s rozpočtem stavby (s cenami i bez cen) nejpozději do 60 kalendářních dnů od zaslání písemného pokynu objednatele po obdržení pravomocného povolení stavby</w:t>
      </w:r>
    </w:p>
    <w:p w14:paraId="34A46974" w14:textId="3E9DCA17" w:rsidR="00DA605E" w:rsidRPr="003B1792" w:rsidRDefault="00DA605E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DA605E">
        <w:rPr>
          <w:b/>
          <w:bCs/>
        </w:rPr>
        <w:t xml:space="preserve">Autorský dozor: </w:t>
      </w:r>
      <w:r>
        <w:rPr>
          <w:b/>
          <w:bCs/>
        </w:rPr>
        <w:t xml:space="preserve">bude zahájen </w:t>
      </w:r>
      <w:r w:rsidRPr="00DA605E">
        <w:rPr>
          <w:b/>
          <w:bCs/>
        </w:rPr>
        <w:t xml:space="preserve">do </w:t>
      </w:r>
      <w:r w:rsidR="00ED63E1">
        <w:rPr>
          <w:b/>
          <w:bCs/>
        </w:rPr>
        <w:t xml:space="preserve">3 </w:t>
      </w:r>
      <w:r w:rsidRPr="00DA605E">
        <w:rPr>
          <w:b/>
          <w:bCs/>
        </w:rPr>
        <w:t xml:space="preserve">kalendářních dnů od zahájení stavby. O zahájení stavební činnosti bude </w:t>
      </w:r>
      <w:r>
        <w:rPr>
          <w:b/>
          <w:bCs/>
        </w:rPr>
        <w:t xml:space="preserve">zhotovitel </w:t>
      </w:r>
      <w:r w:rsidRPr="00DA605E">
        <w:rPr>
          <w:b/>
          <w:bCs/>
        </w:rPr>
        <w:t>informován v dostatečném předstihu</w:t>
      </w:r>
      <w:r>
        <w:rPr>
          <w:b/>
          <w:bCs/>
        </w:rPr>
        <w:t xml:space="preserve">. Autorský dozor bude vykonáván </w:t>
      </w:r>
      <w:r>
        <w:rPr>
          <w:b/>
          <w:szCs w:val="24"/>
        </w:rPr>
        <w:t xml:space="preserve">v rozsahu minimálně </w:t>
      </w:r>
      <w:r w:rsidR="00ED63E1">
        <w:rPr>
          <w:b/>
          <w:szCs w:val="24"/>
        </w:rPr>
        <w:t>1</w:t>
      </w:r>
      <w:r>
        <w:rPr>
          <w:b/>
          <w:szCs w:val="24"/>
        </w:rPr>
        <w:t xml:space="preserve"> x týdně po celou dobu realizace stavby.</w:t>
      </w:r>
    </w:p>
    <w:permEnd w:id="1443570475"/>
    <w:p w14:paraId="77A6EF41" w14:textId="7549B5C6" w:rsidR="009C6732" w:rsidRPr="009C6732" w:rsidRDefault="002051F1" w:rsidP="009C6732">
      <w:pPr>
        <w:pStyle w:val="Odstavecseseznamem"/>
        <w:ind w:left="360"/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9B3A60">
        <w:t>část ulice Erbenova a Irkutská, v </w:t>
      </w:r>
      <w:proofErr w:type="spellStart"/>
      <w:proofErr w:type="gramStart"/>
      <w:r w:rsidR="009B3A60">
        <w:t>k.ú</w:t>
      </w:r>
      <w:proofErr w:type="spellEnd"/>
      <w:r w:rsidR="009B3A60">
        <w:t>.</w:t>
      </w:r>
      <w:proofErr w:type="gramEnd"/>
      <w:r w:rsidR="009B3A60">
        <w:t xml:space="preserve"> Dolní </w:t>
      </w:r>
      <w:proofErr w:type="spellStart"/>
      <w:r w:rsidR="009B3A60">
        <w:t>Hanychov</w:t>
      </w:r>
      <w:proofErr w:type="spellEnd"/>
      <w:r w:rsidR="009B3A60">
        <w:t>, Liberec</w:t>
      </w:r>
      <w:permEnd w:id="429597131"/>
    </w:p>
    <w:p w14:paraId="7E874C7C" w14:textId="0D186545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 xml:space="preserve">sídlo objednatele (odboru </w:t>
      </w:r>
      <w:permStart w:id="1033378765" w:edGrp="everyone"/>
      <w:r w:rsidR="000A5E28">
        <w:rPr>
          <w:szCs w:val="24"/>
        </w:rPr>
        <w:t>dopravních staveb</w:t>
      </w:r>
      <w:r w:rsidR="008948C3">
        <w:rPr>
          <w:szCs w:val="24"/>
        </w:rPr>
        <w:t>.</w:t>
      </w:r>
      <w:permEnd w:id="1033378765"/>
      <w:r w:rsidR="008948C3">
        <w:rPr>
          <w:szCs w:val="24"/>
        </w:rPr>
        <w:t>)</w:t>
      </w:r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E09F66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6D36FA">
        <w:rPr>
          <w:szCs w:val="24"/>
        </w:rPr>
        <w:t>…………</w:t>
      </w:r>
      <w:proofErr w:type="gramStart"/>
      <w:r w:rsidR="006D36FA">
        <w:rPr>
          <w:szCs w:val="24"/>
        </w:rPr>
        <w:t>…..</w:t>
      </w:r>
      <w:permEnd w:id="653928147"/>
      <w:r w:rsidR="00354AEB">
        <w:rPr>
          <w:szCs w:val="24"/>
        </w:rPr>
        <w:t>,</w:t>
      </w:r>
      <w:r w:rsidR="00D45C01" w:rsidRPr="003B3420">
        <w:rPr>
          <w:szCs w:val="24"/>
        </w:rPr>
        <w:t xml:space="preserve"> </w:t>
      </w:r>
      <w:r w:rsidR="000F5D51">
        <w:rPr>
          <w:szCs w:val="24"/>
        </w:rPr>
        <w:t>podané</w:t>
      </w:r>
      <w:proofErr w:type="gramEnd"/>
      <w:r w:rsidR="000F5D51">
        <w:rPr>
          <w:szCs w:val="24"/>
        </w:rPr>
        <w:t xml:space="preserve"> v rámci výběrového řízení na veřejnou zakázku malého rozsahu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CB737B">
        <w:tc>
          <w:tcPr>
            <w:tcW w:w="2830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2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538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2024498088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42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7E7B522E" w14:textId="77777777" w:rsidTr="00CB737B">
        <w:tc>
          <w:tcPr>
            <w:tcW w:w="2830" w:type="dxa"/>
          </w:tcPr>
          <w:p w14:paraId="67753000" w14:textId="6552C1D9" w:rsidR="00483F7F" w:rsidRDefault="006372C4" w:rsidP="00B7349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807172204" w:edGrp="everyone" w:colFirst="1" w:colLast="1"/>
            <w:permStart w:id="331550600" w:edGrp="everyone" w:colFirst="2" w:colLast="2"/>
            <w:permStart w:id="1946700670" w:edGrp="everyone" w:colFirst="3" w:colLast="3"/>
            <w:r>
              <w:rPr>
                <w:szCs w:val="24"/>
              </w:rPr>
              <w:t>D</w:t>
            </w:r>
            <w:r w:rsidR="00B247D6">
              <w:rPr>
                <w:szCs w:val="24"/>
              </w:rPr>
              <w:t>okumentace pro povolení stavby</w:t>
            </w:r>
          </w:p>
        </w:tc>
        <w:tc>
          <w:tcPr>
            <w:tcW w:w="2126" w:type="dxa"/>
          </w:tcPr>
          <w:p w14:paraId="15BF4ECA" w14:textId="2911229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538" w:type="dxa"/>
          </w:tcPr>
          <w:p w14:paraId="673E463D" w14:textId="05D540B6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42" w:type="dxa"/>
          </w:tcPr>
          <w:p w14:paraId="5B198E77" w14:textId="54E63F63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0710FF" w14:paraId="01A42B81" w14:textId="77777777" w:rsidTr="00CB737B">
        <w:tc>
          <w:tcPr>
            <w:tcW w:w="2830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permEnd w:id="1807172204"/>
            <w:permEnd w:id="331550600"/>
            <w:permEnd w:id="1946700670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12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538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42" w:type="dxa"/>
          </w:tcPr>
          <w:p w14:paraId="4D3B93DC" w14:textId="5402C82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0710FF" w14:paraId="2423613F" w14:textId="77777777" w:rsidTr="00CB737B">
        <w:tc>
          <w:tcPr>
            <w:tcW w:w="2830" w:type="dxa"/>
          </w:tcPr>
          <w:p w14:paraId="12259968" w14:textId="6B1B807F" w:rsidR="00483F7F" w:rsidRDefault="006372C4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permEnd w:id="1394483480"/>
            <w:permEnd w:id="1963745746"/>
            <w:permEnd w:id="59190995"/>
            <w:r>
              <w:rPr>
                <w:szCs w:val="24"/>
              </w:rPr>
              <w:t>Inženýr</w:t>
            </w:r>
            <w:r w:rsidR="00DA605E">
              <w:rPr>
                <w:szCs w:val="24"/>
              </w:rPr>
              <w:t>ská činnost</w:t>
            </w:r>
          </w:p>
        </w:tc>
        <w:tc>
          <w:tcPr>
            <w:tcW w:w="2126" w:type="dxa"/>
          </w:tcPr>
          <w:p w14:paraId="477ADE55" w14:textId="5D25AE1A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538" w:type="dxa"/>
          </w:tcPr>
          <w:p w14:paraId="4FB04705" w14:textId="12306CC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42" w:type="dxa"/>
          </w:tcPr>
          <w:p w14:paraId="38A16EC6" w14:textId="1E1FFA11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DA605E" w14:paraId="2DA5E0A2" w14:textId="77777777" w:rsidTr="00CB737B">
        <w:tc>
          <w:tcPr>
            <w:tcW w:w="2830" w:type="dxa"/>
          </w:tcPr>
          <w:p w14:paraId="3A93602D" w14:textId="450AE635" w:rsidR="00DA605E" w:rsidRDefault="00DA605E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</w:tcPr>
          <w:p w14:paraId="42DD6501" w14:textId="54FD2F41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538" w:type="dxa"/>
          </w:tcPr>
          <w:p w14:paraId="4278BC38" w14:textId="7A9BC778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42" w:type="dxa"/>
          </w:tcPr>
          <w:p w14:paraId="2CD9768E" w14:textId="1F98734A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0710FF" w14:paraId="56DE1B8B" w14:textId="77777777" w:rsidTr="00CB737B">
        <w:tc>
          <w:tcPr>
            <w:tcW w:w="2830" w:type="dxa"/>
          </w:tcPr>
          <w:p w14:paraId="7C567404" w14:textId="0C25CCDD" w:rsidR="00483F7F" w:rsidRDefault="000710F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permEnd w:id="192362659"/>
            <w:permEnd w:id="1864070761"/>
            <w:permEnd w:id="1435187896"/>
            <w:r>
              <w:rPr>
                <w:szCs w:val="24"/>
              </w:rPr>
              <w:t>CELKEM</w:t>
            </w:r>
          </w:p>
        </w:tc>
        <w:tc>
          <w:tcPr>
            <w:tcW w:w="2126" w:type="dxa"/>
          </w:tcPr>
          <w:p w14:paraId="1BADBE42" w14:textId="25986313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538" w:type="dxa"/>
          </w:tcPr>
          <w:p w14:paraId="7368A6BE" w14:textId="20797B8E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42" w:type="dxa"/>
          </w:tcPr>
          <w:p w14:paraId="10D1ACC7" w14:textId="117E9FE9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689782441"/>
    <w:permEnd w:id="912603257"/>
    <w:permEnd w:id="236352479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0E0234">
      <w:pPr>
        <w:pStyle w:val="Default"/>
        <w:numPr>
          <w:ilvl w:val="0"/>
          <w:numId w:val="16"/>
        </w:numPr>
        <w:spacing w:before="120"/>
        <w:ind w:hanging="436"/>
      </w:pPr>
      <w:permStart w:id="918315078" w:edGrp="everyone"/>
      <w:r>
        <w:t>–</w:t>
      </w:r>
      <w:r w:rsidR="00214A00">
        <w:t>………………………………………………………………………</w:t>
      </w:r>
      <w:proofErr w:type="gramStart"/>
      <w:r w:rsidR="00214A00">
        <w:t>…..</w:t>
      </w:r>
      <w:proofErr w:type="gramEnd"/>
    </w:p>
    <w:p w14:paraId="1B778879" w14:textId="4C0AF0FC" w:rsidR="00EF6A05" w:rsidRDefault="0024780A" w:rsidP="003B3420">
      <w:pPr>
        <w:pStyle w:val="Default"/>
        <w:numPr>
          <w:ilvl w:val="0"/>
          <w:numId w:val="16"/>
        </w:numPr>
        <w:spacing w:before="120"/>
        <w:ind w:hanging="436"/>
      </w:pPr>
      <w:r>
        <w:t>–</w:t>
      </w:r>
      <w:r w:rsidR="00214A00">
        <w:t>………………………………………………………………………</w:t>
      </w:r>
      <w:proofErr w:type="gramStart"/>
      <w:r w:rsidR="00214A00">
        <w:t>…..</w:t>
      </w:r>
      <w:proofErr w:type="gramEnd"/>
    </w:p>
    <w:permEnd w:id="918315078"/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>Změny členů týmu budou možné pouze po předchozím schválení objednatelem a za 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C5A1D3F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70FDA970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0A5E28">
        <w:rPr>
          <w:szCs w:val="24"/>
        </w:rPr>
        <w:t>3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1D47B22C" w14:textId="707FECED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 xml:space="preserve">Dílo resp. jeho jednotlivé dílčí části budou protokolárně předány objednateli v jeho sídle na adrese odboru </w:t>
      </w:r>
      <w:permStart w:id="1418555047" w:edGrp="everyone"/>
      <w:r w:rsidR="000A5E28">
        <w:rPr>
          <w:szCs w:val="24"/>
        </w:rPr>
        <w:t>dopravních staveb</w:t>
      </w:r>
      <w:r w:rsidR="00214A00">
        <w:rPr>
          <w:szCs w:val="24"/>
        </w:rPr>
        <w:t>.</w:t>
      </w:r>
      <w:permEnd w:id="1418555047"/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2E86BE7B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3FD288F9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415971FB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0ADD9DC3" w14:textId="42517E3C" w:rsidR="00DA605E" w:rsidRPr="00DA605E" w:rsidRDefault="00DA605E" w:rsidP="00DA605E">
      <w:pPr>
        <w:pStyle w:val="Odstavecseseznamem"/>
        <w:numPr>
          <w:ilvl w:val="1"/>
          <w:numId w:val="43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DA605E">
        <w:rPr>
          <w:iCs/>
          <w:szCs w:val="22"/>
        </w:rPr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2A2293E8" w14:textId="77777777" w:rsidR="000A5E28" w:rsidRDefault="00875ADE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 xml:space="preserve">dokumentaci </w:t>
      </w:r>
      <w:permStart w:id="1578900100" w:edGrp="everyone"/>
      <w:r w:rsidR="000A5E28">
        <w:rPr>
          <w:szCs w:val="24"/>
        </w:rPr>
        <w:t>k řádnému provedení díla.</w:t>
      </w:r>
    </w:p>
    <w:permEnd w:id="1578900100"/>
    <w:p w14:paraId="6290F811" w14:textId="40702AB1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59E34B17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7C6D8E">
        <w:rPr>
          <w:szCs w:val="24"/>
        </w:rPr>
        <w:t xml:space="preserve"> (příloha č. </w:t>
      </w:r>
      <w:permStart w:id="40127853" w:edGrp="everyone"/>
      <w:r w:rsidR="000A5E28">
        <w:rPr>
          <w:szCs w:val="24"/>
        </w:rPr>
        <w:t>4</w:t>
      </w:r>
      <w:permEnd w:id="40127853"/>
      <w:r w:rsidR="004501C9">
        <w:rPr>
          <w:szCs w:val="24"/>
        </w:rPr>
        <w:t xml:space="preserve"> zadávací dokumentace</w:t>
      </w:r>
      <w:r w:rsidR="007C6D8E">
        <w:rPr>
          <w:szCs w:val="24"/>
        </w:rPr>
        <w:t>)</w:t>
      </w:r>
      <w:r w:rsidRPr="00435D32">
        <w:rPr>
          <w:szCs w:val="24"/>
        </w:rPr>
        <w:t xml:space="preserve">. Zhotovitel odpovídá za řádnost a včasnost provedení díla, jako by toto prováděl sám. </w:t>
      </w:r>
      <w:r w:rsidRPr="00435D32">
        <w:rPr>
          <w:rFonts w:eastAsia="Calibri"/>
        </w:rPr>
        <w:t>Zhotovitel</w:t>
      </w:r>
      <w:r w:rsidRPr="00F23E41">
        <w:rPr>
          <w:rFonts w:eastAsia="Calibri"/>
        </w:rPr>
        <w:t xml:space="preserve"> je povinen na žádost Objednatele předkládat v průběhu provádění Díla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22095D74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Díla možná pouze po písemném souhlasu Objednatele. Tato změna musí být Objednateli pís</w:t>
      </w:r>
      <w:r w:rsidRPr="00F23E41">
        <w:rPr>
          <w:rFonts w:eastAsia="Calibri"/>
        </w:rPr>
        <w:t>emně oznámena nejpozději do 5 pracovních dnů od vzniklé skutečnosti. Změna poddodavatele, prostřednictvím kterého byla prokázána kvalifikace, je v průběhu plnění Díla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>v důsledku objektivně 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Objednatele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7777777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Objednateli, že poddodavatelé budou disponovat potřebnými oprávněními, odbornou kvalifikací a dostatkem odborných zkušeností pro provedení subdodávky, budou provádět předmět subdodávky sami přímo pro Objednatele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51CF082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Zhotovitele, tak ve vztahu k poddodavatelům, kteří se na realizaci Díla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Díla podíleli bez souhlasu Objednatele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61B4B080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</w:t>
      </w:r>
      <w:r w:rsidRPr="00F23E41">
        <w:rPr>
          <w:rFonts w:eastAsia="Calibri"/>
        </w:rPr>
        <w:lastRenderedPageBreak/>
        <w:t>pověřené Objednatelem k výkonu technického či jiného dozoru, jakož i k povinnosti na žádost Objednatele předložit doklady a poskytnout informace o způsobu provádění subdodávky (použitých materiálech, technologiích). V případě pochybností Objednatele o odbornosti či kvalitě prováděných prací poddodavatele, je Objednatel oprávněn vyzvat Zhotovitele k zastavení takových činností a žádat změnu poddodavatele. Zhotovitel je povinen vyhovět žádosti Objednatele a bezodkladně mu předložit k odsouhlasení náhradního poddodavatele.</w:t>
      </w: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56109764" w:rsidR="00647DEF" w:rsidRPr="00DA605E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 xml:space="preserve">v případě jakéhokoli dalšího porušení této smlouvy nad rámec případů v tomto článku uvedených, má objednatel právo účtovat zhotoviteli smluvní pokutu ve výši 1 000 Kč </w:t>
      </w:r>
      <w:r>
        <w:rPr>
          <w:color w:val="000000"/>
        </w:rPr>
        <w:lastRenderedPageBreak/>
        <w:t>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221F5C89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0A5E2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30</w:t>
      </w:r>
      <w:r w:rsidR="00E95F94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mil</w:t>
      </w:r>
      <w:permEnd w:id="347879027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lastRenderedPageBreak/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65F436E4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permStart w:id="1277847036" w:edGrp="everyone"/>
      <w:r w:rsidR="00435D32" w:rsidRPr="0097249B">
        <w:rPr>
          <w:color w:val="000000"/>
          <w:szCs w:val="24"/>
        </w:rPr>
        <w:t>„</w:t>
      </w:r>
      <w:r w:rsidR="00E50F6E">
        <w:rPr>
          <w:color w:val="000000"/>
          <w:szCs w:val="24"/>
        </w:rPr>
        <w:t xml:space="preserve">Projektová příprava na rekonstrukci komunikace </w:t>
      </w:r>
      <w:r w:rsidR="00404F3E">
        <w:rPr>
          <w:color w:val="000000"/>
          <w:szCs w:val="24"/>
        </w:rPr>
        <w:t>Irkutská x Erbenova</w:t>
      </w:r>
      <w:r w:rsidR="00E50F6E">
        <w:rPr>
          <w:color w:val="000000"/>
          <w:szCs w:val="24"/>
        </w:rPr>
        <w:t>, Liberec</w:t>
      </w:r>
      <w:r w:rsidR="00435D32" w:rsidRPr="0097249B">
        <w:rPr>
          <w:color w:val="000000"/>
          <w:szCs w:val="24"/>
        </w:rPr>
        <w:t>“</w:t>
      </w:r>
      <w:permEnd w:id="1277847036"/>
      <w:r w:rsidR="00435D32" w:rsidRPr="0097249B">
        <w:rPr>
          <w:color w:val="000000"/>
          <w:szCs w:val="24"/>
        </w:rPr>
        <w:t xml:space="preserve">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1020BDC4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  <w:t xml:space="preserve">Tato smlouva je sepsána ve </w:t>
      </w:r>
      <w:r w:rsidR="00875ADE" w:rsidRPr="00600A42">
        <w:rPr>
          <w:szCs w:val="24"/>
        </w:rPr>
        <w:t>4 stejnopisech</w:t>
      </w:r>
      <w:r w:rsidR="00875ADE" w:rsidRPr="003B3420">
        <w:rPr>
          <w:szCs w:val="24"/>
        </w:rPr>
        <w:t>, z nichž objednatel i zhotovitel obdrží po dvou vyhotoveních.</w:t>
      </w:r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3C43C4BA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7611CBCB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proofErr w:type="gramStart"/>
            <w:r w:rsidR="00214A00">
              <w:rPr>
                <w:szCs w:val="24"/>
              </w:rPr>
              <w:t>…</w:t>
            </w:r>
            <w:r w:rsidR="008948C3">
              <w:rPr>
                <w:szCs w:val="24"/>
              </w:rPr>
              <w:t>..</w:t>
            </w:r>
            <w:permEnd w:id="228677854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689580225" w:edGrp="everyone"/>
            <w:proofErr w:type="gramEnd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689580225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5E3B61E6" w14:textId="37B9426C" w:rsidR="002F0157" w:rsidRPr="003B3420" w:rsidRDefault="00D1704F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>
              <w:rPr>
                <w:szCs w:val="24"/>
              </w:rPr>
              <w:t>…………………………….</w:t>
            </w:r>
            <w:permEnd w:id="1532131675"/>
          </w:p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……………………………..</w:t>
            </w:r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90DAB" w14:textId="77777777" w:rsidR="00105DBF" w:rsidRDefault="00105DBF">
      <w:pPr>
        <w:spacing w:before="0"/>
      </w:pPr>
      <w:r>
        <w:separator/>
      </w:r>
    </w:p>
  </w:endnote>
  <w:endnote w:type="continuationSeparator" w:id="0">
    <w:p w14:paraId="2388EED3" w14:textId="77777777" w:rsidR="00105DBF" w:rsidRDefault="00105D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1A02CD48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19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2BB55" w14:textId="77777777" w:rsidR="00105DBF" w:rsidRDefault="00105DBF">
      <w:pPr>
        <w:spacing w:before="0"/>
      </w:pPr>
      <w:r>
        <w:separator/>
      </w:r>
    </w:p>
  </w:footnote>
  <w:footnote w:type="continuationSeparator" w:id="0">
    <w:p w14:paraId="18F95207" w14:textId="77777777" w:rsidR="00105DBF" w:rsidRDefault="00105D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4494"/>
    <w:multiLevelType w:val="hybridMultilevel"/>
    <w:tmpl w:val="7E3C3FD2"/>
    <w:lvl w:ilvl="0" w:tplc="A68A857A">
      <w:numFmt w:val="bullet"/>
      <w:lvlText w:val="-"/>
      <w:lvlJc w:val="left"/>
      <w:pPr>
        <w:ind w:left="382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3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10"/>
  </w:num>
  <w:num w:numId="5">
    <w:abstractNumId w:val="39"/>
  </w:num>
  <w:num w:numId="6">
    <w:abstractNumId w:val="23"/>
  </w:num>
  <w:num w:numId="7">
    <w:abstractNumId w:val="38"/>
  </w:num>
  <w:num w:numId="8">
    <w:abstractNumId w:val="29"/>
  </w:num>
  <w:num w:numId="9">
    <w:abstractNumId w:val="25"/>
  </w:num>
  <w:num w:numId="10">
    <w:abstractNumId w:val="11"/>
  </w:num>
  <w:num w:numId="11">
    <w:abstractNumId w:val="0"/>
  </w:num>
  <w:num w:numId="12">
    <w:abstractNumId w:val="27"/>
  </w:num>
  <w:num w:numId="13">
    <w:abstractNumId w:val="37"/>
  </w:num>
  <w:num w:numId="14">
    <w:abstractNumId w:val="34"/>
  </w:num>
  <w:num w:numId="15">
    <w:abstractNumId w:val="14"/>
  </w:num>
  <w:num w:numId="16">
    <w:abstractNumId w:val="16"/>
  </w:num>
  <w:num w:numId="17">
    <w:abstractNumId w:val="9"/>
  </w:num>
  <w:num w:numId="18">
    <w:abstractNumId w:val="19"/>
  </w:num>
  <w:num w:numId="19">
    <w:abstractNumId w:val="8"/>
  </w:num>
  <w:num w:numId="20">
    <w:abstractNumId w:val="30"/>
  </w:num>
  <w:num w:numId="21">
    <w:abstractNumId w:val="2"/>
  </w:num>
  <w:num w:numId="22">
    <w:abstractNumId w:val="4"/>
  </w:num>
  <w:num w:numId="23">
    <w:abstractNumId w:val="17"/>
  </w:num>
  <w:num w:numId="24">
    <w:abstractNumId w:val="22"/>
  </w:num>
  <w:num w:numId="25">
    <w:abstractNumId w:val="6"/>
  </w:num>
  <w:num w:numId="26">
    <w:abstractNumId w:val="7"/>
  </w:num>
  <w:num w:numId="27">
    <w:abstractNumId w:val="20"/>
  </w:num>
  <w:num w:numId="28">
    <w:abstractNumId w:val="30"/>
  </w:num>
  <w:num w:numId="29">
    <w:abstractNumId w:val="8"/>
  </w:num>
  <w:num w:numId="30">
    <w:abstractNumId w:val="28"/>
  </w:num>
  <w:num w:numId="31">
    <w:abstractNumId w:val="3"/>
  </w:num>
  <w:num w:numId="32">
    <w:abstractNumId w:val="13"/>
  </w:num>
  <w:num w:numId="33">
    <w:abstractNumId w:val="31"/>
  </w:num>
  <w:num w:numId="34">
    <w:abstractNumId w:val="5"/>
  </w:num>
  <w:num w:numId="35">
    <w:abstractNumId w:val="15"/>
  </w:num>
  <w:num w:numId="36">
    <w:abstractNumId w:val="35"/>
  </w:num>
  <w:num w:numId="37">
    <w:abstractNumId w:val="33"/>
  </w:num>
  <w:num w:numId="38">
    <w:abstractNumId w:val="18"/>
  </w:num>
  <w:num w:numId="39">
    <w:abstractNumId w:val="21"/>
  </w:num>
  <w:num w:numId="40">
    <w:abstractNumId w:val="36"/>
  </w:num>
  <w:num w:numId="41">
    <w:abstractNumId w:val="5"/>
  </w:num>
  <w:num w:numId="42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2"/>
  </w:num>
  <w:num w:numId="4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3Iv52DyfivWBMGHa0jmKHHkWC9iBpHZRthMrknOkkEtc7dDvy36myKPTt46ev3WYCTYkUsQNCB2s88DbDBiGsw==" w:salt="ID6O37FY+DNIQvcydKqSZ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5E28"/>
    <w:rsid w:val="000A69FD"/>
    <w:rsid w:val="000B3894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408B"/>
    <w:rsid w:val="000E4707"/>
    <w:rsid w:val="000F5CEC"/>
    <w:rsid w:val="000F5D51"/>
    <w:rsid w:val="00103290"/>
    <w:rsid w:val="00105DBF"/>
    <w:rsid w:val="00112542"/>
    <w:rsid w:val="00114675"/>
    <w:rsid w:val="00120ABD"/>
    <w:rsid w:val="001251E9"/>
    <w:rsid w:val="0012660C"/>
    <w:rsid w:val="00127B8C"/>
    <w:rsid w:val="00133531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6556"/>
    <w:rsid w:val="00197AD6"/>
    <w:rsid w:val="00197F96"/>
    <w:rsid w:val="001A5A09"/>
    <w:rsid w:val="001D0202"/>
    <w:rsid w:val="001D25E9"/>
    <w:rsid w:val="001D656F"/>
    <w:rsid w:val="001E44E0"/>
    <w:rsid w:val="0020013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71E63"/>
    <w:rsid w:val="00284B1D"/>
    <w:rsid w:val="00287F8B"/>
    <w:rsid w:val="00294F0C"/>
    <w:rsid w:val="0029545E"/>
    <w:rsid w:val="002965A0"/>
    <w:rsid w:val="002A5612"/>
    <w:rsid w:val="002A6915"/>
    <w:rsid w:val="002B1D57"/>
    <w:rsid w:val="002B3F44"/>
    <w:rsid w:val="002C0DCC"/>
    <w:rsid w:val="002C1B96"/>
    <w:rsid w:val="002D4F94"/>
    <w:rsid w:val="002D7728"/>
    <w:rsid w:val="002D7F0C"/>
    <w:rsid w:val="002E112D"/>
    <w:rsid w:val="002E7720"/>
    <w:rsid w:val="002F0157"/>
    <w:rsid w:val="002F0817"/>
    <w:rsid w:val="002F0DA0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66660"/>
    <w:rsid w:val="0037006B"/>
    <w:rsid w:val="00373ADE"/>
    <w:rsid w:val="00382210"/>
    <w:rsid w:val="00390929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7F3C"/>
    <w:rsid w:val="003E2FBD"/>
    <w:rsid w:val="003E4A63"/>
    <w:rsid w:val="003F06F2"/>
    <w:rsid w:val="003F4648"/>
    <w:rsid w:val="004019A7"/>
    <w:rsid w:val="0040293F"/>
    <w:rsid w:val="004040AA"/>
    <w:rsid w:val="00404F3E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83680"/>
    <w:rsid w:val="00483F7F"/>
    <w:rsid w:val="004A174D"/>
    <w:rsid w:val="004A5588"/>
    <w:rsid w:val="004B05DF"/>
    <w:rsid w:val="004B12E3"/>
    <w:rsid w:val="004B21B0"/>
    <w:rsid w:val="004C0456"/>
    <w:rsid w:val="004C36CC"/>
    <w:rsid w:val="004D3DAC"/>
    <w:rsid w:val="004E55CE"/>
    <w:rsid w:val="00511BB6"/>
    <w:rsid w:val="0051213F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4113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2BE0"/>
    <w:rsid w:val="0059720D"/>
    <w:rsid w:val="00597415"/>
    <w:rsid w:val="00597F27"/>
    <w:rsid w:val="005A12F9"/>
    <w:rsid w:val="005A7EB8"/>
    <w:rsid w:val="005B1313"/>
    <w:rsid w:val="005C3752"/>
    <w:rsid w:val="005C739F"/>
    <w:rsid w:val="005D2A69"/>
    <w:rsid w:val="005D62F2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3BFE"/>
    <w:rsid w:val="00631A0A"/>
    <w:rsid w:val="00633633"/>
    <w:rsid w:val="006372C4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DD9"/>
    <w:rsid w:val="00685165"/>
    <w:rsid w:val="00687883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7666B"/>
    <w:rsid w:val="008807D3"/>
    <w:rsid w:val="00885C64"/>
    <w:rsid w:val="008860FF"/>
    <w:rsid w:val="0088645E"/>
    <w:rsid w:val="008876D6"/>
    <w:rsid w:val="0089336C"/>
    <w:rsid w:val="008948C3"/>
    <w:rsid w:val="00895F04"/>
    <w:rsid w:val="00897AF5"/>
    <w:rsid w:val="008A03DA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47F2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3A60"/>
    <w:rsid w:val="009B4CAE"/>
    <w:rsid w:val="009B5E72"/>
    <w:rsid w:val="009C0536"/>
    <w:rsid w:val="009C6732"/>
    <w:rsid w:val="009C7CCA"/>
    <w:rsid w:val="009D3698"/>
    <w:rsid w:val="009D7E90"/>
    <w:rsid w:val="009E4656"/>
    <w:rsid w:val="009F1C36"/>
    <w:rsid w:val="009F270F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56D8E"/>
    <w:rsid w:val="00A61817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11D02"/>
    <w:rsid w:val="00B2346B"/>
    <w:rsid w:val="00B247D6"/>
    <w:rsid w:val="00B33C9A"/>
    <w:rsid w:val="00B401B5"/>
    <w:rsid w:val="00B44A61"/>
    <w:rsid w:val="00B51091"/>
    <w:rsid w:val="00B526A7"/>
    <w:rsid w:val="00B55793"/>
    <w:rsid w:val="00B6341F"/>
    <w:rsid w:val="00B7255B"/>
    <w:rsid w:val="00B7349E"/>
    <w:rsid w:val="00B7637E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D15D2"/>
    <w:rsid w:val="00BE69F8"/>
    <w:rsid w:val="00BE6C63"/>
    <w:rsid w:val="00BF08D9"/>
    <w:rsid w:val="00BF35AC"/>
    <w:rsid w:val="00BF7E0B"/>
    <w:rsid w:val="00C047C5"/>
    <w:rsid w:val="00C05F14"/>
    <w:rsid w:val="00C17C2C"/>
    <w:rsid w:val="00C21791"/>
    <w:rsid w:val="00C25CD7"/>
    <w:rsid w:val="00C26BB8"/>
    <w:rsid w:val="00C348BD"/>
    <w:rsid w:val="00C36604"/>
    <w:rsid w:val="00C40C81"/>
    <w:rsid w:val="00C40EF4"/>
    <w:rsid w:val="00C42083"/>
    <w:rsid w:val="00C45710"/>
    <w:rsid w:val="00C51AB8"/>
    <w:rsid w:val="00C54834"/>
    <w:rsid w:val="00C573B9"/>
    <w:rsid w:val="00C67401"/>
    <w:rsid w:val="00C70357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1704F"/>
    <w:rsid w:val="00D20F3D"/>
    <w:rsid w:val="00D26BA5"/>
    <w:rsid w:val="00D30619"/>
    <w:rsid w:val="00D30E0A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73D"/>
    <w:rsid w:val="00D65E1C"/>
    <w:rsid w:val="00D674D6"/>
    <w:rsid w:val="00D70D0B"/>
    <w:rsid w:val="00D751E5"/>
    <w:rsid w:val="00D774BA"/>
    <w:rsid w:val="00D80542"/>
    <w:rsid w:val="00D8604F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79ED"/>
    <w:rsid w:val="00E05414"/>
    <w:rsid w:val="00E06380"/>
    <w:rsid w:val="00E11435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0F6E"/>
    <w:rsid w:val="00E52603"/>
    <w:rsid w:val="00E60325"/>
    <w:rsid w:val="00E65AD3"/>
    <w:rsid w:val="00E66A7E"/>
    <w:rsid w:val="00E86531"/>
    <w:rsid w:val="00E87C19"/>
    <w:rsid w:val="00E948F7"/>
    <w:rsid w:val="00E959D9"/>
    <w:rsid w:val="00E95F94"/>
    <w:rsid w:val="00EB1081"/>
    <w:rsid w:val="00EB2822"/>
    <w:rsid w:val="00EC10B0"/>
    <w:rsid w:val="00EC326F"/>
    <w:rsid w:val="00EC40A5"/>
    <w:rsid w:val="00EC4525"/>
    <w:rsid w:val="00ED28DE"/>
    <w:rsid w:val="00ED63E1"/>
    <w:rsid w:val="00ED75C7"/>
    <w:rsid w:val="00EE1E79"/>
    <w:rsid w:val="00EE3EE3"/>
    <w:rsid w:val="00EF0200"/>
    <w:rsid w:val="00EF2842"/>
    <w:rsid w:val="00EF3E31"/>
    <w:rsid w:val="00EF4D5B"/>
    <w:rsid w:val="00EF6A05"/>
    <w:rsid w:val="00F0101A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F147-5959-4C96-822C-74412C08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4517</Words>
  <Characters>27004</Characters>
  <Application>Microsoft Office Word</Application>
  <DocSecurity>8</DocSecurity>
  <Lines>225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2025-04-10T06:12:00Z</dcterms:created>
  <dcterms:modified xsi:type="dcterms:W3CDTF">2025-04-10T09:39:00Z</dcterms:modified>
</cp:coreProperties>
</file>