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0D326BF5" w:rsidR="00E15CA3" w:rsidRPr="009F32C4" w:rsidRDefault="00E15CA3" w:rsidP="00D97D05">
      <w:pPr>
        <w:pStyle w:val="Textkomente"/>
        <w:spacing w:before="120" w:after="120"/>
        <w:jc w:val="center"/>
        <w:rPr>
          <w:b/>
          <w:sz w:val="32"/>
        </w:rPr>
      </w:pPr>
      <w:permStart w:id="1465083689" w:edGrp="everyone"/>
      <w:r w:rsidRPr="009F32C4">
        <w:rPr>
          <w:b/>
          <w:sz w:val="32"/>
        </w:rPr>
        <w:t>„</w:t>
      </w:r>
      <w:r w:rsidR="00B0479F" w:rsidRPr="00B0479F">
        <w:rPr>
          <w:b/>
          <w:sz w:val="32"/>
          <w:lang w:val="cs-CZ"/>
        </w:rPr>
        <w:t>Výměna zvonkových tabel a domácích telefonů v 5 domech s pečovatelskou službou v Liberci</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7C2A0C93" w:rsidR="00587F8D" w:rsidRPr="00905B74" w:rsidRDefault="00587F8D" w:rsidP="00D97D05">
      <w:pPr>
        <w:ind w:left="2835" w:hanging="2835"/>
        <w:jc w:val="both"/>
      </w:pPr>
      <w:r w:rsidRPr="00905B74">
        <w:t xml:space="preserve">ve věcech smluvních:     </w:t>
      </w:r>
      <w:r w:rsidR="00905B74">
        <w:tab/>
      </w:r>
      <w:permStart w:id="1131676916" w:edGrp="everyone"/>
      <w:r w:rsidR="00B0479F">
        <w:t xml:space="preserve">panem Adamem </w:t>
      </w:r>
      <w:proofErr w:type="spellStart"/>
      <w:r w:rsidR="00B0479F">
        <w:t>Lenertem</w:t>
      </w:r>
      <w:proofErr w:type="spellEnd"/>
      <w:r w:rsidR="00B0479F">
        <w:t xml:space="preserve">, </w:t>
      </w:r>
      <w:proofErr w:type="spellStart"/>
      <w:r w:rsidR="00B0479F">
        <w:t>MBA</w:t>
      </w:r>
      <w:proofErr w:type="spellEnd"/>
      <w:r w:rsidR="00B0479F">
        <w:t>, náměstkem primátora pro územní plánování, majetek a sport</w:t>
      </w:r>
      <w:permEnd w:id="1131676916"/>
      <w:r w:rsidR="00E15CA3" w:rsidRPr="00905B74">
        <w:t xml:space="preserve"> </w:t>
      </w:r>
    </w:p>
    <w:p w14:paraId="7C4BD509" w14:textId="2902DBCE" w:rsidR="00587F8D" w:rsidRPr="00905B74" w:rsidRDefault="00587F8D" w:rsidP="00B0479F">
      <w:pPr>
        <w:ind w:left="2835" w:hanging="2835"/>
        <w:jc w:val="both"/>
      </w:pPr>
      <w:r w:rsidRPr="00905B74">
        <w:t>ve věcech technických:</w:t>
      </w:r>
      <w:r w:rsidRPr="00905B74">
        <w:tab/>
      </w:r>
      <w:permStart w:id="801979663" w:edGrp="everyone"/>
      <w:r w:rsidR="00B0479F">
        <w:t>panem Vítem Seibertem, specialistou oddělení technické správy budov,   odboru majetkové správy a sportu</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09FA725C"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w:t>
      </w:r>
      <w:permStart w:id="1495205893" w:edGrp="everyone"/>
      <w:r w:rsidR="00B0479F" w:rsidRPr="00EC7E13">
        <w:rPr>
          <w:color w:val="000000"/>
        </w:rPr>
        <w:t>je výměna stávajících systém</w:t>
      </w:r>
      <w:r w:rsidR="00B0479F">
        <w:rPr>
          <w:color w:val="000000"/>
        </w:rPr>
        <w:t>ů</w:t>
      </w:r>
      <w:r w:rsidR="00B0479F" w:rsidRPr="00EC7E13">
        <w:rPr>
          <w:color w:val="000000"/>
        </w:rPr>
        <w:t xml:space="preserve"> vnější komunikace objektů</w:t>
      </w:r>
      <w:r w:rsidR="00B0479F">
        <w:rPr>
          <w:color w:val="000000"/>
        </w:rPr>
        <w:t>.</w:t>
      </w:r>
      <w:r w:rsidR="00B0479F" w:rsidRPr="00EC7E13">
        <w:rPr>
          <w:color w:val="000000"/>
        </w:rPr>
        <w:t xml:space="preserve"> Budou provedeny demontáž</w:t>
      </w:r>
      <w:r w:rsidR="00B0479F">
        <w:rPr>
          <w:color w:val="000000"/>
        </w:rPr>
        <w:t>emi stávajících zvonkových tabel (</w:t>
      </w:r>
      <w:r w:rsidR="00B0479F" w:rsidRPr="00EC7E13">
        <w:rPr>
          <w:color w:val="000000"/>
        </w:rPr>
        <w:t>přičemž je nutné</w:t>
      </w:r>
      <w:r w:rsidR="00B0479F">
        <w:rPr>
          <w:color w:val="000000"/>
        </w:rPr>
        <w:t xml:space="preserve"> před demontáží stávajících systémů),</w:t>
      </w:r>
      <w:r w:rsidR="00B0479F" w:rsidRPr="00EC7E13">
        <w:rPr>
          <w:color w:val="000000"/>
        </w:rPr>
        <w:t xml:space="preserve"> zajistit si popisy jednotlivých kontaktů (kabelů), demontáže domovních telefonů, dodávka, montáž nových tabel</w:t>
      </w:r>
      <w:r w:rsidR="00C33AE1">
        <w:rPr>
          <w:color w:val="000000"/>
        </w:rPr>
        <w:t xml:space="preserve"> s elektronickým papírem (E-</w:t>
      </w:r>
      <w:proofErr w:type="spellStart"/>
      <w:r w:rsidR="00C33AE1">
        <w:rPr>
          <w:color w:val="000000"/>
        </w:rPr>
        <w:t>INK</w:t>
      </w:r>
      <w:proofErr w:type="spellEnd"/>
      <w:r w:rsidR="00C33AE1">
        <w:rPr>
          <w:color w:val="000000"/>
        </w:rPr>
        <w:t>)</w:t>
      </w:r>
      <w:r w:rsidR="00B0479F" w:rsidRPr="00EC7E13">
        <w:rPr>
          <w:color w:val="000000"/>
        </w:rPr>
        <w:t xml:space="preserve"> a koncovýc</w:t>
      </w:r>
      <w:r w:rsidR="00B0479F">
        <w:rPr>
          <w:color w:val="000000"/>
        </w:rPr>
        <w:t>h zařízení, jejich</w:t>
      </w:r>
      <w:r w:rsidR="00B0479F" w:rsidRPr="002848EF">
        <w:rPr>
          <w:color w:val="000000"/>
        </w:rPr>
        <w:t xml:space="preserve"> </w:t>
      </w:r>
      <w:r w:rsidR="00B0479F">
        <w:rPr>
          <w:color w:val="000000"/>
        </w:rPr>
        <w:t>prozkoušení,</w:t>
      </w:r>
      <w:r w:rsidR="00B0479F" w:rsidRPr="00EC7E13">
        <w:rPr>
          <w:color w:val="000000"/>
        </w:rPr>
        <w:t xml:space="preserve"> nastavení</w:t>
      </w:r>
      <w:r w:rsidR="00B0479F">
        <w:rPr>
          <w:color w:val="000000"/>
        </w:rPr>
        <w:t xml:space="preserve"> a pojmenování jednotlivých jmenovek</w:t>
      </w:r>
      <w:r w:rsidR="00B0479F" w:rsidRPr="00EC7E13">
        <w:rPr>
          <w:color w:val="000000"/>
        </w:rPr>
        <w:t>, zaškolení obsluhy a nájemníků, předání návodů k užívání a přístupových dat k ovládání klávesnic tabel</w:t>
      </w:r>
      <w:permEnd w:id="1495205893"/>
      <w:r w:rsidR="00FB276C" w:rsidRPr="0011081A">
        <w:t>, včetně provedení všech dalších činností, které jsou s tímto spojeny</w:t>
      </w:r>
      <w:r w:rsidRPr="00905B74">
        <w:t xml:space="preserve"> a jsou specifikovány</w:t>
      </w:r>
      <w:r w:rsidR="00FB276C">
        <w:t xml:space="preserve"> </w:t>
      </w:r>
      <w:r w:rsidRPr="00905B74">
        <w:t>v</w:t>
      </w:r>
      <w:r w:rsidR="00DA281D">
        <w:t>e</w:t>
      </w:r>
      <w:r w:rsidRPr="00905B74">
        <w:t xml:space="preserve"> výkazu výměr, který je nedílnou přílohou a součástí smlouvy. </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lastRenderedPageBreak/>
        <w:t xml:space="preserve">Předmětem plnění jsou zejména tyto </w:t>
      </w:r>
      <w:r w:rsidR="006D0357" w:rsidRPr="00905B74">
        <w:t>činnosti</w:t>
      </w:r>
      <w:r w:rsidRPr="00905B74">
        <w:rPr>
          <w:b/>
        </w:rPr>
        <w:t xml:space="preserve">: </w:t>
      </w:r>
    </w:p>
    <w:p w14:paraId="0C25B979" w14:textId="648C80A2" w:rsidR="004D6BE4" w:rsidRDefault="004D6BE4" w:rsidP="00B0479F">
      <w:pPr>
        <w:numPr>
          <w:ilvl w:val="0"/>
          <w:numId w:val="12"/>
        </w:numPr>
        <w:suppressAutoHyphens/>
        <w:spacing w:before="120" w:after="120" w:line="259" w:lineRule="auto"/>
        <w:jc w:val="both"/>
      </w:pPr>
      <w:permStart w:id="757746823" w:edGrp="everyone"/>
      <w:r>
        <w:t>Seznámení se se stavem a adresami jednotlivých vývodů kontaktů, popis kabeláží</w:t>
      </w:r>
    </w:p>
    <w:p w14:paraId="1377E98D" w14:textId="31BF1F6F" w:rsidR="00B0479F" w:rsidRDefault="00B0479F" w:rsidP="00B0479F">
      <w:pPr>
        <w:numPr>
          <w:ilvl w:val="0"/>
          <w:numId w:val="12"/>
        </w:numPr>
        <w:suppressAutoHyphens/>
        <w:spacing w:before="120" w:after="120" w:line="259" w:lineRule="auto"/>
        <w:jc w:val="both"/>
      </w:pPr>
      <w:r>
        <w:t>Demontáž stávajících domovních telefonů</w:t>
      </w:r>
    </w:p>
    <w:p w14:paraId="7A47853C" w14:textId="77777777" w:rsidR="00B0479F" w:rsidRDefault="00B0479F" w:rsidP="00B0479F">
      <w:pPr>
        <w:numPr>
          <w:ilvl w:val="0"/>
          <w:numId w:val="12"/>
        </w:numPr>
        <w:suppressAutoHyphens/>
        <w:spacing w:before="120" w:after="120" w:line="259" w:lineRule="auto"/>
        <w:jc w:val="both"/>
      </w:pPr>
      <w:r>
        <w:t>Demontáž stávajících zvonkových tabel u vstupních dveří</w:t>
      </w:r>
    </w:p>
    <w:p w14:paraId="24CF45C9" w14:textId="77777777" w:rsidR="00B0479F" w:rsidRDefault="00B0479F" w:rsidP="00B0479F">
      <w:pPr>
        <w:numPr>
          <w:ilvl w:val="0"/>
          <w:numId w:val="12"/>
        </w:numPr>
        <w:suppressAutoHyphens/>
        <w:spacing w:before="120" w:after="120" w:line="259" w:lineRule="auto"/>
        <w:jc w:val="both"/>
      </w:pPr>
      <w:r>
        <w:t>Dodávka nových domovních telefonů</w:t>
      </w:r>
    </w:p>
    <w:p w14:paraId="3EB4F494" w14:textId="733826B5" w:rsidR="00B0479F" w:rsidRDefault="00B0479F" w:rsidP="00B0479F">
      <w:pPr>
        <w:numPr>
          <w:ilvl w:val="0"/>
          <w:numId w:val="12"/>
        </w:numPr>
        <w:suppressAutoHyphens/>
        <w:spacing w:before="120" w:after="120" w:line="259" w:lineRule="auto"/>
        <w:jc w:val="both"/>
      </w:pPr>
      <w:r>
        <w:t>Dodávka nových zvonkových tabel</w:t>
      </w:r>
      <w:r w:rsidR="00C33AE1">
        <w:t xml:space="preserve"> s elektronickým papírem (E-</w:t>
      </w:r>
      <w:proofErr w:type="spellStart"/>
      <w:r w:rsidR="00C33AE1">
        <w:t>INK</w:t>
      </w:r>
      <w:proofErr w:type="spellEnd"/>
      <w:r w:rsidR="00C33AE1">
        <w:t>)</w:t>
      </w:r>
    </w:p>
    <w:p w14:paraId="3F17B353" w14:textId="77777777" w:rsidR="00B0479F" w:rsidRDefault="00B0479F" w:rsidP="00B0479F">
      <w:pPr>
        <w:numPr>
          <w:ilvl w:val="0"/>
          <w:numId w:val="12"/>
        </w:numPr>
        <w:suppressAutoHyphens/>
        <w:spacing w:before="120" w:after="120" w:line="259" w:lineRule="auto"/>
        <w:jc w:val="both"/>
      </w:pPr>
      <w:r>
        <w:t>Montáž domovních telefonů v bytech</w:t>
      </w:r>
    </w:p>
    <w:p w14:paraId="0B473DAA" w14:textId="77777777" w:rsidR="00B0479F" w:rsidRDefault="00B0479F" w:rsidP="00B0479F">
      <w:pPr>
        <w:numPr>
          <w:ilvl w:val="0"/>
          <w:numId w:val="12"/>
        </w:numPr>
        <w:suppressAutoHyphens/>
        <w:spacing w:before="120" w:after="120" w:line="259" w:lineRule="auto"/>
        <w:jc w:val="both"/>
      </w:pPr>
      <w:r>
        <w:t>Montáž zvonkových tabel u vstupních dveří</w:t>
      </w:r>
    </w:p>
    <w:p w14:paraId="47155350" w14:textId="77777777" w:rsidR="00B0479F" w:rsidRDefault="00B0479F" w:rsidP="00B0479F">
      <w:pPr>
        <w:numPr>
          <w:ilvl w:val="0"/>
          <w:numId w:val="12"/>
        </w:numPr>
        <w:suppressAutoHyphens/>
        <w:spacing w:before="120" w:after="120" w:line="259" w:lineRule="auto"/>
        <w:jc w:val="both"/>
      </w:pPr>
      <w:r>
        <w:t>Nové zavedení ovládání otvírače</w:t>
      </w:r>
    </w:p>
    <w:p w14:paraId="1829F284" w14:textId="77777777" w:rsidR="00B0479F" w:rsidRDefault="00B0479F" w:rsidP="00B0479F">
      <w:pPr>
        <w:numPr>
          <w:ilvl w:val="0"/>
          <w:numId w:val="12"/>
        </w:numPr>
        <w:suppressAutoHyphens/>
        <w:spacing w:before="120" w:after="120" w:line="259" w:lineRule="auto"/>
        <w:jc w:val="both"/>
      </w:pPr>
      <w:r>
        <w:t>Zapojení a konfigurace systému</w:t>
      </w:r>
    </w:p>
    <w:p w14:paraId="1C496C40" w14:textId="77777777" w:rsidR="00B0479F" w:rsidRDefault="00B0479F" w:rsidP="00B0479F">
      <w:pPr>
        <w:numPr>
          <w:ilvl w:val="0"/>
          <w:numId w:val="12"/>
        </w:numPr>
        <w:suppressAutoHyphens/>
        <w:spacing w:before="120" w:after="120" w:line="259" w:lineRule="auto"/>
        <w:jc w:val="both"/>
      </w:pPr>
      <w:r>
        <w:t>Úprava krabic, výsek do zdi, zednické zapravení a výmalba</w:t>
      </w:r>
    </w:p>
    <w:p w14:paraId="47CA92DD" w14:textId="77777777" w:rsidR="00B0479F" w:rsidRDefault="00B0479F" w:rsidP="00B0479F">
      <w:pPr>
        <w:numPr>
          <w:ilvl w:val="0"/>
          <w:numId w:val="12"/>
        </w:numPr>
        <w:suppressAutoHyphens/>
        <w:spacing w:before="120" w:after="120" w:line="259" w:lineRule="auto"/>
        <w:jc w:val="both"/>
      </w:pPr>
      <w:r>
        <w:t>Ekologická likvidace starého zařízení a elektro odpadu</w:t>
      </w:r>
    </w:p>
    <w:p w14:paraId="41710A4B" w14:textId="77777777" w:rsidR="00B0479F" w:rsidRDefault="00B0479F" w:rsidP="00B0479F">
      <w:pPr>
        <w:numPr>
          <w:ilvl w:val="0"/>
          <w:numId w:val="12"/>
        </w:numPr>
        <w:suppressAutoHyphens/>
        <w:spacing w:before="120" w:after="120" w:line="259" w:lineRule="auto"/>
        <w:jc w:val="both"/>
      </w:pPr>
      <w:r>
        <w:t>Pojmenování jmenovek dle seznamu dodaným objednatelem</w:t>
      </w:r>
    </w:p>
    <w:p w14:paraId="28A4A934" w14:textId="77777777" w:rsidR="00B0479F" w:rsidRDefault="00B0479F" w:rsidP="00B0479F">
      <w:pPr>
        <w:numPr>
          <w:ilvl w:val="0"/>
          <w:numId w:val="12"/>
        </w:numPr>
        <w:suppressAutoHyphens/>
        <w:spacing w:before="120" w:after="120" w:line="259" w:lineRule="auto"/>
        <w:jc w:val="both"/>
      </w:pPr>
      <w:r>
        <w:t>Odzkoušení systému a kontrola propojení adresátů</w:t>
      </w:r>
    </w:p>
    <w:p w14:paraId="4FFBEE15" w14:textId="77777777" w:rsidR="00B0479F" w:rsidRDefault="00B0479F" w:rsidP="00B0479F">
      <w:pPr>
        <w:numPr>
          <w:ilvl w:val="0"/>
          <w:numId w:val="12"/>
        </w:numPr>
        <w:suppressAutoHyphens/>
        <w:spacing w:before="120" w:after="120" w:line="259" w:lineRule="auto"/>
        <w:jc w:val="both"/>
      </w:pPr>
      <w:r>
        <w:t xml:space="preserve">Připojení k systému </w:t>
      </w:r>
      <w:proofErr w:type="spellStart"/>
      <w:r>
        <w:t>EPS</w:t>
      </w:r>
      <w:proofErr w:type="spellEnd"/>
      <w:r>
        <w:t xml:space="preserve"> a automatickým posuvným dveřím</w:t>
      </w:r>
    </w:p>
    <w:p w14:paraId="0EE96C54" w14:textId="77777777" w:rsidR="00B0479F" w:rsidRDefault="00B0479F" w:rsidP="00B0479F">
      <w:pPr>
        <w:numPr>
          <w:ilvl w:val="0"/>
          <w:numId w:val="12"/>
        </w:numPr>
        <w:suppressAutoHyphens/>
        <w:spacing w:before="120" w:after="120" w:line="259" w:lineRule="auto"/>
        <w:jc w:val="both"/>
      </w:pPr>
      <w:r>
        <w:t>Zaškolení obsluhy</w:t>
      </w:r>
    </w:p>
    <w:p w14:paraId="2BED9E0B" w14:textId="77777777" w:rsidR="00B0479F" w:rsidRDefault="00B0479F" w:rsidP="00B0479F">
      <w:pPr>
        <w:numPr>
          <w:ilvl w:val="0"/>
          <w:numId w:val="12"/>
        </w:numPr>
        <w:suppressAutoHyphens/>
        <w:spacing w:before="120" w:after="120" w:line="259" w:lineRule="auto"/>
        <w:jc w:val="both"/>
      </w:pPr>
      <w:r>
        <w:t>Doprava</w:t>
      </w:r>
    </w:p>
    <w:p w14:paraId="7D6F7E69" w14:textId="2056A75B" w:rsidR="00FA18A3" w:rsidRPr="00B031A6" w:rsidRDefault="00B0479F" w:rsidP="00DA281D">
      <w:pPr>
        <w:numPr>
          <w:ilvl w:val="0"/>
          <w:numId w:val="12"/>
        </w:numPr>
        <w:tabs>
          <w:tab w:val="num" w:pos="-4683"/>
        </w:tabs>
        <w:suppressAutoHyphens/>
        <w:spacing w:before="120" w:after="120" w:line="259" w:lineRule="auto"/>
        <w:jc w:val="both"/>
      </w:pPr>
      <w:r>
        <w:t>Koordinace a administrativní náklad</w:t>
      </w:r>
      <w:r w:rsidR="00C66B12">
        <w:t>y</w:t>
      </w:r>
      <w:permEnd w:id="757746823"/>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lastRenderedPageBreak/>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3EF0C312"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w:t>
      </w:r>
      <w:permStart w:id="204880259" w:edGrp="everyone"/>
      <w:r w:rsidRPr="00905B74">
        <w:rPr>
          <w:lang w:eastAsia="en-US"/>
        </w:rPr>
        <w:t xml:space="preserve">je </w:t>
      </w:r>
      <w:r w:rsidR="00C66B12">
        <w:rPr>
          <w:lang w:eastAsia="en-US"/>
        </w:rPr>
        <w:t>modernizace domovních telefonů</w:t>
      </w:r>
      <w:r w:rsidR="00817F56">
        <w:rPr>
          <w:lang w:eastAsia="en-US"/>
        </w:rPr>
        <w:t xml:space="preserve">, </w:t>
      </w:r>
      <w:r w:rsidR="00C66B12">
        <w:rPr>
          <w:lang w:eastAsia="en-US"/>
        </w:rPr>
        <w:t xml:space="preserve">zvonkových systémů </w:t>
      </w:r>
      <w:r w:rsidR="00817F56">
        <w:rPr>
          <w:lang w:eastAsia="en-US"/>
        </w:rPr>
        <w:t>a zvýšení bezpečnosti v bytových domech.</w:t>
      </w:r>
      <w:permEnd w:id="204880259"/>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1E59CC22" w:rsidR="00DB4759" w:rsidRPr="00DA281D"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38C94B14" w14:textId="6801F9EE" w:rsidR="00667A32" w:rsidRDefault="00301935" w:rsidP="00DA281D">
      <w:pPr>
        <w:pStyle w:val="Odstavecseseznamem"/>
        <w:numPr>
          <w:ilvl w:val="0"/>
          <w:numId w:val="17"/>
        </w:numPr>
        <w:spacing w:before="120" w:after="120"/>
        <w:ind w:left="284" w:hanging="284"/>
        <w:jc w:val="both"/>
      </w:pPr>
      <w:r w:rsidRPr="00DA281D">
        <w:rPr>
          <w:b/>
        </w:rPr>
        <w:t>Místo plnění:</w:t>
      </w:r>
      <w:r w:rsidRPr="002C7C57">
        <w:t xml:space="preserve"> </w:t>
      </w:r>
      <w:permStart w:id="266999565" w:edGrp="everyone"/>
      <w:r w:rsidR="00DA281D">
        <w:t>bytové domy</w:t>
      </w:r>
      <w:r w:rsidR="00C33AE1">
        <w:t xml:space="preserve"> v ulici Burianova </w:t>
      </w:r>
      <w:proofErr w:type="gramStart"/>
      <w:r w:rsidR="00C33AE1">
        <w:t>č.</w:t>
      </w:r>
      <w:r w:rsidR="00C66B12">
        <w:t>p.</w:t>
      </w:r>
      <w:proofErr w:type="gramEnd"/>
      <w:r w:rsidR="00C66B12">
        <w:t xml:space="preserve"> 969, 1070 a 1071, Borový Vrch </w:t>
      </w:r>
      <w:r w:rsidR="00DA281D">
        <w:t xml:space="preserve">č.p. </w:t>
      </w:r>
      <w:r w:rsidR="00C66B12">
        <w:t>1031 a 1032</w:t>
      </w:r>
    </w:p>
    <w:permEnd w:id="266999565"/>
    <w:p w14:paraId="38327D1D" w14:textId="77777777" w:rsidR="009D6B69" w:rsidRPr="00DA281D" w:rsidRDefault="009D6B69" w:rsidP="009D6B69">
      <w:pPr>
        <w:pStyle w:val="Odstavecseseznamem"/>
        <w:spacing w:before="120" w:after="120"/>
        <w:ind w:left="284"/>
        <w:jc w:val="both"/>
      </w:pPr>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4AD63CA3"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B0479F">
        <w:rPr>
          <w:b/>
        </w:rPr>
        <w:t>tří (3)</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6B8FCF8D"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B0479F">
        <w:rPr>
          <w:b/>
        </w:rPr>
        <w:t>patnácti (15) 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7C049F8A"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331B4E">
        <w:t>Vzhledem k tomu, že výše uvedené stavební práce budou prováděny za plného provozu v obj</w:t>
      </w:r>
      <w:r w:rsidR="00331B4E" w:rsidRPr="00331B4E">
        <w:t>ektu, ve kterém se pohybují osoby se sníženou pohyblivostí a zrakovým omezením</w:t>
      </w:r>
      <w:r w:rsidRPr="0011081A">
        <w:t>,</w:t>
      </w:r>
      <w:r>
        <w:t xml:space="preserve"> stavební práce </w:t>
      </w:r>
      <w:r w:rsidR="00331B4E">
        <w:t>je nutné sladit s provozem objektů</w:t>
      </w:r>
      <w:r>
        <w:t xml:space="preserve">. </w:t>
      </w:r>
      <w:permEnd w:id="500594135"/>
      <w:r>
        <w:t>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lastRenderedPageBreak/>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w:t>
      </w:r>
      <w:r w:rsidRPr="00905B74">
        <w:lastRenderedPageBreak/>
        <w:t xml:space="preserve">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CE45FB9"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C33AE1">
              <w:rPr>
                <w:rFonts w:cs="Times New Roman"/>
                <w:lang w:val="cs-CZ"/>
              </w:rPr>
              <w:t>12</w:t>
            </w:r>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4E1A43F4" w:rsidR="00301935" w:rsidRPr="009D6B69"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60ADC7C6" w14:textId="559E9CAA" w:rsidR="009D6B69" w:rsidRDefault="009D6B69" w:rsidP="009D6B69">
      <w:pPr>
        <w:pStyle w:val="Zkladntext"/>
        <w:spacing w:before="120" w:after="120"/>
        <w:jc w:val="both"/>
        <w:rPr>
          <w:b w:val="0"/>
          <w:i w:val="0"/>
          <w:sz w:val="24"/>
          <w:u w:val="none"/>
        </w:rPr>
      </w:pPr>
    </w:p>
    <w:p w14:paraId="40ED0B83" w14:textId="77777777" w:rsidR="009D6B69" w:rsidRPr="00FE645F" w:rsidRDefault="009D6B69" w:rsidP="009D6B69">
      <w:pPr>
        <w:pStyle w:val="Zkladntext"/>
        <w:spacing w:before="120" w:after="120"/>
        <w:jc w:val="both"/>
        <w:rPr>
          <w:b w:val="0"/>
          <w:i w:val="0"/>
          <w:sz w:val="18"/>
          <w:szCs w:val="24"/>
          <w:u w:val="none"/>
          <w:lang w:val="cs-CZ"/>
        </w:rPr>
      </w:pP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lastRenderedPageBreak/>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lastRenderedPageBreak/>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 xml:space="preserve">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w:t>
      </w:r>
      <w:r w:rsidRPr="00905B74">
        <w:rPr>
          <w:b w:val="0"/>
          <w:bCs/>
          <w:i w:val="0"/>
          <w:iCs/>
          <w:color w:val="000000"/>
          <w:sz w:val="24"/>
          <w:szCs w:val="24"/>
          <w:u w:val="none"/>
          <w:lang w:val="cs-CZ"/>
        </w:rPr>
        <w:lastRenderedPageBreak/>
        <w:t>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1A021EB2"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C66B12">
        <w:rPr>
          <w:b/>
          <w:color w:val="000000"/>
        </w:rPr>
        <w:t>48</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lastRenderedPageBreak/>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lastRenderedPageBreak/>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05B95E9D"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rsidR="00F82847">
        <w:t>3</w:t>
      </w:r>
      <w:r>
        <w:t xml:space="preserve"> </w:t>
      </w:r>
      <w:r w:rsidRPr="001030D6">
        <w:rPr>
          <w:szCs w:val="20"/>
        </w:rPr>
        <w:t>stejnopi</w:t>
      </w:r>
      <w:r w:rsidR="00F82847">
        <w:rPr>
          <w:szCs w:val="20"/>
        </w:rPr>
        <w:t>sech, z nichž objednatel obdrží 2</w:t>
      </w:r>
      <w:r w:rsidRPr="001030D6">
        <w:rPr>
          <w:szCs w:val="20"/>
        </w:rPr>
        <w:t xml:space="preserve"> vyhotovení</w:t>
      </w:r>
      <w:r>
        <w:t xml:space="preserve">, </w:t>
      </w:r>
      <w:r w:rsidRPr="001030D6">
        <w:rPr>
          <w:szCs w:val="20"/>
        </w:rPr>
        <w:t>zhotovitel</w:t>
      </w:r>
      <w:r w:rsidR="00F82847">
        <w:t xml:space="preserve"> 1</w:t>
      </w:r>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lastRenderedPageBreak/>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53BAC856"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r w:rsidR="009D6B69">
        <w:rPr>
          <w:bCs/>
          <w:color w:val="000000"/>
          <w:lang w:eastAsia="ar-SA"/>
        </w:rPr>
        <w:t xml:space="preserve"> (výkazu výměr)</w:t>
      </w:r>
    </w:p>
    <w:p w14:paraId="4C16F920" w14:textId="18F8D8CE" w:rsidR="001606A9" w:rsidRPr="001606A9" w:rsidRDefault="001606A9" w:rsidP="001606A9">
      <w:pPr>
        <w:suppressAutoHyphens/>
        <w:spacing w:before="120" w:after="120"/>
        <w:jc w:val="both"/>
        <w:rPr>
          <w:bCs/>
          <w:color w:val="000000"/>
          <w:lang w:val="x-none" w:eastAsia="ar-SA"/>
        </w:rPr>
      </w:pPr>
      <w:permStart w:id="708857698" w:edGrp="everyone"/>
      <w:r>
        <w:t>2</w:t>
      </w:r>
      <w:r w:rsidR="00C33AE1">
        <w:t xml:space="preserve">) </w:t>
      </w:r>
      <w:bookmarkStart w:id="0" w:name="_GoBack"/>
      <w:bookmarkEnd w:id="0"/>
      <w:r>
        <w:t>.…………….</w:t>
      </w:r>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2A3E01B5" w14:textId="77777777" w:rsidR="00296D59"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r w:rsidR="00296D59">
        <w:t>Adam Lenert</w:t>
      </w:r>
    </w:p>
    <w:p w14:paraId="079E2875" w14:textId="7FBC7712" w:rsidR="00FD3CE3" w:rsidRPr="00C0780D" w:rsidRDefault="00296D59" w:rsidP="00296D59">
      <w:pPr>
        <w:spacing w:before="120" w:after="120"/>
        <w:ind w:left="5672" w:firstLine="709"/>
        <w:jc w:val="both"/>
      </w:pPr>
      <w:r>
        <w:t>náměstek primátora</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751F" w14:textId="77777777" w:rsidR="00941A3F" w:rsidRDefault="00941A3F" w:rsidP="009F74A3">
      <w:r>
        <w:separator/>
      </w:r>
    </w:p>
  </w:endnote>
  <w:endnote w:type="continuationSeparator" w:id="0">
    <w:p w14:paraId="7B9AFFA6" w14:textId="77777777" w:rsidR="00941A3F" w:rsidRDefault="00941A3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71134E73" w:rsidR="00FA18A3" w:rsidRDefault="00FA18A3">
        <w:pPr>
          <w:pStyle w:val="Zpat"/>
          <w:jc w:val="center"/>
        </w:pPr>
        <w:r>
          <w:fldChar w:fldCharType="begin"/>
        </w:r>
        <w:r>
          <w:instrText>PAGE   \* MERGEFORMAT</w:instrText>
        </w:r>
        <w:r>
          <w:fldChar w:fldCharType="separate"/>
        </w:r>
        <w:r w:rsidR="00C33AE1">
          <w:rPr>
            <w:noProof/>
          </w:rPr>
          <w:t>10</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CC0B" w14:textId="77777777" w:rsidR="00941A3F" w:rsidRDefault="00941A3F" w:rsidP="009F74A3">
      <w:r>
        <w:separator/>
      </w:r>
    </w:p>
  </w:footnote>
  <w:footnote w:type="continuationSeparator" w:id="0">
    <w:p w14:paraId="3A5307E2" w14:textId="77777777" w:rsidR="00941A3F" w:rsidRDefault="00941A3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23FA8BAA"/>
    <w:lvl w:ilvl="0" w:tplc="5D668F5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zIkcrycsByegjolligyUT2B7W7uj6TypZWB3hecHMkYCWY+VL2x03TwaQU5mIBp2bbjEYY3Qrig/2bRV19OL4A==" w:salt="PNT+nZmrxtrYl504IbP+2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CBC"/>
    <w:rsid w:val="000E45DF"/>
    <w:rsid w:val="00101702"/>
    <w:rsid w:val="00124950"/>
    <w:rsid w:val="001606A9"/>
    <w:rsid w:val="0016088A"/>
    <w:rsid w:val="00194499"/>
    <w:rsid w:val="00196882"/>
    <w:rsid w:val="001969B8"/>
    <w:rsid w:val="001F00D9"/>
    <w:rsid w:val="00242D24"/>
    <w:rsid w:val="00256029"/>
    <w:rsid w:val="00271DB0"/>
    <w:rsid w:val="00296D59"/>
    <w:rsid w:val="002C26EA"/>
    <w:rsid w:val="002C7C57"/>
    <w:rsid w:val="00301935"/>
    <w:rsid w:val="00313835"/>
    <w:rsid w:val="003232F2"/>
    <w:rsid w:val="003245DD"/>
    <w:rsid w:val="00331B4E"/>
    <w:rsid w:val="003479C9"/>
    <w:rsid w:val="0037077E"/>
    <w:rsid w:val="003A5C7E"/>
    <w:rsid w:val="003A68DA"/>
    <w:rsid w:val="003B1F8F"/>
    <w:rsid w:val="003D132D"/>
    <w:rsid w:val="003D63AA"/>
    <w:rsid w:val="003E7747"/>
    <w:rsid w:val="0040630F"/>
    <w:rsid w:val="004124A7"/>
    <w:rsid w:val="00425682"/>
    <w:rsid w:val="00430901"/>
    <w:rsid w:val="00431008"/>
    <w:rsid w:val="004841ED"/>
    <w:rsid w:val="004D6BE4"/>
    <w:rsid w:val="004F19AC"/>
    <w:rsid w:val="00506073"/>
    <w:rsid w:val="00526BED"/>
    <w:rsid w:val="00531FFC"/>
    <w:rsid w:val="005377BD"/>
    <w:rsid w:val="00555F24"/>
    <w:rsid w:val="0056051B"/>
    <w:rsid w:val="00587909"/>
    <w:rsid w:val="00587F8D"/>
    <w:rsid w:val="0059113B"/>
    <w:rsid w:val="005A516A"/>
    <w:rsid w:val="005A71A8"/>
    <w:rsid w:val="005C01AB"/>
    <w:rsid w:val="005C1EA3"/>
    <w:rsid w:val="005F2263"/>
    <w:rsid w:val="0060686D"/>
    <w:rsid w:val="00611D11"/>
    <w:rsid w:val="006208BF"/>
    <w:rsid w:val="006241B4"/>
    <w:rsid w:val="00640D27"/>
    <w:rsid w:val="00666290"/>
    <w:rsid w:val="00667A32"/>
    <w:rsid w:val="00681073"/>
    <w:rsid w:val="00690197"/>
    <w:rsid w:val="006A055D"/>
    <w:rsid w:val="006A1438"/>
    <w:rsid w:val="006A6F33"/>
    <w:rsid w:val="006C6C32"/>
    <w:rsid w:val="006D0357"/>
    <w:rsid w:val="006D6BBF"/>
    <w:rsid w:val="006F1917"/>
    <w:rsid w:val="00702472"/>
    <w:rsid w:val="00703193"/>
    <w:rsid w:val="00705A04"/>
    <w:rsid w:val="00727BC1"/>
    <w:rsid w:val="00751201"/>
    <w:rsid w:val="00753514"/>
    <w:rsid w:val="0077263C"/>
    <w:rsid w:val="007759D0"/>
    <w:rsid w:val="00780B4C"/>
    <w:rsid w:val="0079248C"/>
    <w:rsid w:val="00797707"/>
    <w:rsid w:val="00797E11"/>
    <w:rsid w:val="007E51BA"/>
    <w:rsid w:val="007F541C"/>
    <w:rsid w:val="008100EC"/>
    <w:rsid w:val="00817F56"/>
    <w:rsid w:val="00820F2F"/>
    <w:rsid w:val="0082550E"/>
    <w:rsid w:val="00837C04"/>
    <w:rsid w:val="00845579"/>
    <w:rsid w:val="008546D6"/>
    <w:rsid w:val="008630A5"/>
    <w:rsid w:val="008748CE"/>
    <w:rsid w:val="00886C36"/>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D3D60"/>
    <w:rsid w:val="009D6B69"/>
    <w:rsid w:val="009E12B2"/>
    <w:rsid w:val="009F74A3"/>
    <w:rsid w:val="00A455B4"/>
    <w:rsid w:val="00A5051A"/>
    <w:rsid w:val="00A54F09"/>
    <w:rsid w:val="00A55996"/>
    <w:rsid w:val="00A6145A"/>
    <w:rsid w:val="00A664CB"/>
    <w:rsid w:val="00A7340E"/>
    <w:rsid w:val="00A92C82"/>
    <w:rsid w:val="00AA01FB"/>
    <w:rsid w:val="00AB5AD5"/>
    <w:rsid w:val="00AD6D13"/>
    <w:rsid w:val="00B0479F"/>
    <w:rsid w:val="00B2049E"/>
    <w:rsid w:val="00B25351"/>
    <w:rsid w:val="00B3356C"/>
    <w:rsid w:val="00B418D7"/>
    <w:rsid w:val="00B62C21"/>
    <w:rsid w:val="00B801AB"/>
    <w:rsid w:val="00B83BE7"/>
    <w:rsid w:val="00B939AD"/>
    <w:rsid w:val="00B94CED"/>
    <w:rsid w:val="00B953D5"/>
    <w:rsid w:val="00BB23EF"/>
    <w:rsid w:val="00BB51C6"/>
    <w:rsid w:val="00C0780D"/>
    <w:rsid w:val="00C12D0A"/>
    <w:rsid w:val="00C2462B"/>
    <w:rsid w:val="00C33AE1"/>
    <w:rsid w:val="00C47726"/>
    <w:rsid w:val="00C66B12"/>
    <w:rsid w:val="00C729D4"/>
    <w:rsid w:val="00C903F2"/>
    <w:rsid w:val="00CC43EB"/>
    <w:rsid w:val="00CD58D4"/>
    <w:rsid w:val="00D147C2"/>
    <w:rsid w:val="00D42486"/>
    <w:rsid w:val="00D51464"/>
    <w:rsid w:val="00D51C35"/>
    <w:rsid w:val="00D56F3C"/>
    <w:rsid w:val="00D84261"/>
    <w:rsid w:val="00D97D05"/>
    <w:rsid w:val="00DA281D"/>
    <w:rsid w:val="00DA7184"/>
    <w:rsid w:val="00DB4759"/>
    <w:rsid w:val="00DB5F3B"/>
    <w:rsid w:val="00DF770F"/>
    <w:rsid w:val="00E15CA3"/>
    <w:rsid w:val="00E57725"/>
    <w:rsid w:val="00E751C3"/>
    <w:rsid w:val="00E96DE1"/>
    <w:rsid w:val="00EB39E2"/>
    <w:rsid w:val="00EE779E"/>
    <w:rsid w:val="00EE77EA"/>
    <w:rsid w:val="00F00626"/>
    <w:rsid w:val="00F16B2F"/>
    <w:rsid w:val="00F46853"/>
    <w:rsid w:val="00F47EFE"/>
    <w:rsid w:val="00F5218D"/>
    <w:rsid w:val="00F53FFA"/>
    <w:rsid w:val="00F74370"/>
    <w:rsid w:val="00F82847"/>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42A2-40D6-41D7-AF07-03A62C6B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4528</Words>
  <Characters>26719</Characters>
  <Application>Microsoft Office Word</Application>
  <DocSecurity>8</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Seibert Vít</cp:lastModifiedBy>
  <cp:revision>6</cp:revision>
  <dcterms:created xsi:type="dcterms:W3CDTF">2025-09-02T09:25:00Z</dcterms:created>
  <dcterms:modified xsi:type="dcterms:W3CDTF">2025-10-07T10:36:00Z</dcterms:modified>
</cp:coreProperties>
</file>