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F6" w:rsidRDefault="00377DF6" w:rsidP="00377DF6">
      <w:pPr>
        <w:jc w:val="left"/>
        <w:rPr>
          <w:sz w:val="48"/>
        </w:rPr>
      </w:pPr>
    </w:p>
    <w:p w:rsidR="00377DF6" w:rsidRDefault="00377DF6" w:rsidP="00377DF6">
      <w:pPr>
        <w:jc w:val="left"/>
        <w:rPr>
          <w:sz w:val="48"/>
        </w:rPr>
      </w:pPr>
    </w:p>
    <w:p w:rsidR="00C16F72" w:rsidRDefault="00C16F72" w:rsidP="00377DF6">
      <w:pPr>
        <w:jc w:val="left"/>
        <w:rPr>
          <w:sz w:val="48"/>
        </w:rPr>
      </w:pPr>
    </w:p>
    <w:p w:rsidR="00377DF6" w:rsidRDefault="00377DF6" w:rsidP="00377DF6">
      <w:pPr>
        <w:jc w:val="left"/>
        <w:rPr>
          <w:sz w:val="48"/>
        </w:rPr>
      </w:pPr>
    </w:p>
    <w:p w:rsidR="00C16F72" w:rsidRDefault="00C16F72" w:rsidP="00377DF6">
      <w:pPr>
        <w:jc w:val="left"/>
        <w:rPr>
          <w:sz w:val="48"/>
        </w:rPr>
      </w:pPr>
    </w:p>
    <w:p w:rsidR="00377DF6" w:rsidRDefault="00377DF6" w:rsidP="00377DF6">
      <w:pPr>
        <w:jc w:val="left"/>
        <w:rPr>
          <w:sz w:val="48"/>
        </w:rPr>
      </w:pPr>
    </w:p>
    <w:p w:rsidR="00377DF6" w:rsidRDefault="00E94A2F" w:rsidP="00377DF6">
      <w:pPr>
        <w:jc w:val="left"/>
        <w:rPr>
          <w:sz w:val="48"/>
        </w:rPr>
      </w:pPr>
      <w:r w:rsidRPr="00E94A2F">
        <w:rPr>
          <w:noProof/>
          <w:sz w:val="48"/>
        </w:rPr>
        <w:drawing>
          <wp:inline distT="0" distB="0" distL="0" distR="0">
            <wp:extent cx="1471496" cy="1755873"/>
            <wp:effectExtent l="19050" t="0" r="0" b="0"/>
            <wp:docPr id="1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333" cy="1762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F72" w:rsidRDefault="00C16F72" w:rsidP="00377DF6">
      <w:pPr>
        <w:jc w:val="left"/>
        <w:rPr>
          <w:b/>
          <w:sz w:val="48"/>
          <w:szCs w:val="48"/>
        </w:rPr>
      </w:pPr>
    </w:p>
    <w:p w:rsidR="00803120" w:rsidRPr="00377DF6" w:rsidRDefault="00377DF6" w:rsidP="00377DF6">
      <w:pPr>
        <w:jc w:val="left"/>
        <w:rPr>
          <w:b/>
          <w:sz w:val="48"/>
          <w:szCs w:val="48"/>
        </w:rPr>
      </w:pPr>
      <w:r w:rsidRPr="00377DF6">
        <w:rPr>
          <w:b/>
          <w:sz w:val="48"/>
          <w:szCs w:val="48"/>
        </w:rPr>
        <w:t>ROZPOČTOVÝ VÝHLED</w:t>
      </w:r>
      <w:r w:rsidRPr="00377DF6">
        <w:rPr>
          <w:b/>
          <w:sz w:val="48"/>
          <w:szCs w:val="48"/>
        </w:rPr>
        <w:br/>
      </w:r>
      <w:r w:rsidR="00E94A2F">
        <w:rPr>
          <w:b/>
          <w:sz w:val="48"/>
          <w:szCs w:val="48"/>
        </w:rPr>
        <w:t xml:space="preserve">STATUTÁRNÍHO </w:t>
      </w:r>
      <w:r w:rsidRPr="00377DF6">
        <w:rPr>
          <w:b/>
          <w:sz w:val="48"/>
          <w:szCs w:val="48"/>
        </w:rPr>
        <w:t xml:space="preserve">MĚSTA </w:t>
      </w:r>
      <w:r w:rsidR="009F5DFB">
        <w:rPr>
          <w:b/>
          <w:sz w:val="48"/>
          <w:szCs w:val="48"/>
        </w:rPr>
        <w:t>LIBEREC</w:t>
      </w:r>
      <w:r w:rsidRPr="00377DF6">
        <w:rPr>
          <w:b/>
          <w:sz w:val="48"/>
          <w:szCs w:val="48"/>
        </w:rPr>
        <w:br/>
      </w:r>
      <w:r w:rsidRPr="00F048C0">
        <w:rPr>
          <w:b/>
          <w:sz w:val="48"/>
          <w:szCs w:val="48"/>
        </w:rPr>
        <w:t>201</w:t>
      </w:r>
      <w:r w:rsidR="00F048C0" w:rsidRPr="00F048C0">
        <w:rPr>
          <w:b/>
          <w:sz w:val="48"/>
          <w:szCs w:val="48"/>
        </w:rPr>
        <w:t>4</w:t>
      </w:r>
      <w:r w:rsidRPr="00F048C0">
        <w:rPr>
          <w:b/>
          <w:sz w:val="48"/>
          <w:szCs w:val="48"/>
        </w:rPr>
        <w:t xml:space="preserve"> – 201</w:t>
      </w:r>
      <w:r w:rsidR="00F048C0" w:rsidRPr="00F048C0">
        <w:rPr>
          <w:b/>
          <w:sz w:val="48"/>
          <w:szCs w:val="48"/>
        </w:rPr>
        <w:t>8</w:t>
      </w:r>
    </w:p>
    <w:p w:rsidR="00377DF6" w:rsidRDefault="00377DF6" w:rsidP="00377DF6">
      <w:pPr>
        <w:jc w:val="left"/>
      </w:pPr>
    </w:p>
    <w:p w:rsidR="00A20550" w:rsidRPr="00A20550" w:rsidRDefault="00A20550" w:rsidP="00A20550">
      <w:pPr>
        <w:jc w:val="left"/>
        <w:rPr>
          <w:b/>
          <w:sz w:val="36"/>
          <w:szCs w:val="36"/>
        </w:rPr>
      </w:pPr>
      <w:r w:rsidRPr="00995A75">
        <w:rPr>
          <w:b/>
          <w:sz w:val="36"/>
          <w:szCs w:val="36"/>
        </w:rPr>
        <w:t>B</w:t>
      </w:r>
      <w:r w:rsidR="00995A75" w:rsidRPr="00995A75">
        <w:rPr>
          <w:b/>
          <w:sz w:val="36"/>
          <w:szCs w:val="36"/>
        </w:rPr>
        <w:t>1</w:t>
      </w:r>
      <w:r w:rsidR="00E94A2F" w:rsidRPr="00995A75">
        <w:rPr>
          <w:b/>
          <w:sz w:val="36"/>
          <w:szCs w:val="36"/>
        </w:rPr>
        <w:t>+</w:t>
      </w:r>
      <w:r w:rsidR="00803120" w:rsidRPr="00995A75">
        <w:rPr>
          <w:b/>
          <w:sz w:val="36"/>
          <w:szCs w:val="36"/>
        </w:rPr>
        <w:t>/AQE</w:t>
      </w:r>
      <w:r w:rsidRPr="00A20550">
        <w:t xml:space="preserve"> </w:t>
      </w:r>
      <w:r w:rsidRPr="00A20550">
        <w:rPr>
          <w:b/>
          <w:sz w:val="36"/>
          <w:szCs w:val="36"/>
        </w:rPr>
        <w:t xml:space="preserve"> </w:t>
      </w:r>
    </w:p>
    <w:p w:rsidR="00E94A2F" w:rsidRPr="00E94A2F" w:rsidRDefault="00995A75" w:rsidP="00E94A2F">
      <w:pPr>
        <w:jc w:val="left"/>
      </w:pPr>
      <w:r w:rsidRPr="00995A75">
        <w:t>Vyhovující subjekt, s dostatečnou schopností splácet své aktuální závazky, s nejistým budoucím riz</w:t>
      </w:r>
      <w:r w:rsidRPr="00995A75">
        <w:t>i</w:t>
      </w:r>
      <w:r w:rsidRPr="00995A75">
        <w:t>kem již v krátkém časovém horizontu.</w:t>
      </w:r>
    </w:p>
    <w:p w:rsidR="00A20550" w:rsidRPr="00A20550" w:rsidRDefault="00A20550" w:rsidP="00A20550">
      <w:pPr>
        <w:jc w:val="left"/>
      </w:pPr>
    </w:p>
    <w:p w:rsidR="00A20550" w:rsidRPr="00297A5B" w:rsidRDefault="00A20550" w:rsidP="00377DF6">
      <w:pPr>
        <w:jc w:val="left"/>
      </w:pPr>
    </w:p>
    <w:p w:rsidR="00803120" w:rsidRPr="006D5C5E" w:rsidRDefault="00803120" w:rsidP="00377DF6">
      <w:pPr>
        <w:jc w:val="left"/>
        <w:rPr>
          <w:highlight w:val="magenta"/>
        </w:rPr>
      </w:pPr>
    </w:p>
    <w:p w:rsidR="00803120" w:rsidRPr="00297A5B" w:rsidRDefault="00803120" w:rsidP="00377DF6">
      <w:pPr>
        <w:jc w:val="left"/>
        <w:rPr>
          <w:b/>
          <w:sz w:val="36"/>
        </w:rPr>
      </w:pPr>
      <w:r w:rsidRPr="00995A75">
        <w:rPr>
          <w:b/>
          <w:sz w:val="36"/>
        </w:rPr>
        <w:t>STR 2</w:t>
      </w:r>
    </w:p>
    <w:p w:rsidR="00803120" w:rsidRDefault="00803120" w:rsidP="00377DF6">
      <w:pPr>
        <w:jc w:val="left"/>
      </w:pPr>
      <w:r w:rsidRPr="00297A5B">
        <w:t>Krátkodobě kvalitní subjekt s dobrou schopností splácet své aktuální závazky</w:t>
      </w:r>
      <w:r w:rsidR="00377DF6" w:rsidRPr="00297A5B">
        <w:t>.</w:t>
      </w:r>
    </w:p>
    <w:p w:rsidR="009C797F" w:rsidRDefault="009C797F">
      <w:pPr>
        <w:spacing w:line="240" w:lineRule="auto"/>
        <w:jc w:val="left"/>
      </w:pPr>
      <w:bookmarkStart w:id="0" w:name="_Toc293487264"/>
      <w:bookmarkStart w:id="1" w:name="_Toc293603467"/>
      <w:bookmarkStart w:id="2" w:name="_Toc293671765"/>
      <w:bookmarkStart w:id="3" w:name="_Toc293672244"/>
      <w:bookmarkStart w:id="4" w:name="_Toc293672333"/>
      <w:bookmarkStart w:id="5" w:name="_Toc355270491"/>
      <w:bookmarkStart w:id="6" w:name="_Toc355270550"/>
      <w:bookmarkStart w:id="7" w:name="_Toc355270665"/>
      <w:bookmarkStart w:id="8" w:name="_Toc355271387"/>
      <w:r>
        <w:br w:type="page"/>
      </w:r>
    </w:p>
    <w:p w:rsidR="009C797F" w:rsidRDefault="00803120" w:rsidP="009C797F">
      <w:pPr>
        <w:rPr>
          <w:b/>
          <w:sz w:val="36"/>
          <w:szCs w:val="36"/>
        </w:rPr>
      </w:pPr>
      <w:r w:rsidRPr="009C797F">
        <w:rPr>
          <w:b/>
          <w:sz w:val="36"/>
          <w:szCs w:val="36"/>
        </w:rPr>
        <w:t>Obsah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9C797F" w:rsidRPr="009C797F" w:rsidRDefault="009C797F" w:rsidP="009C797F">
      <w:pPr>
        <w:rPr>
          <w:b/>
          <w:sz w:val="36"/>
          <w:szCs w:val="36"/>
        </w:rPr>
      </w:pPr>
    </w:p>
    <w:p w:rsidR="006A07F7" w:rsidRDefault="00902CF0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297A5B">
        <w:instrText xml:space="preserve"> TOC \o "1-2" \h \z \u </w:instrText>
      </w:r>
      <w:r>
        <w:fldChar w:fldCharType="separate"/>
      </w:r>
      <w:hyperlink w:anchor="_Toc374432415" w:history="1">
        <w:r w:rsidR="006A07F7" w:rsidRPr="00722A5D">
          <w:rPr>
            <w:rStyle w:val="Hypertextovodkaz"/>
            <w:noProof/>
          </w:rPr>
          <w:t>Úvod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_Toc374432415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3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Obsah1"/>
        <w:tabs>
          <w:tab w:val="left" w:pos="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416" w:history="1">
        <w:r w:rsidR="006A07F7" w:rsidRPr="00722A5D">
          <w:rPr>
            <w:rStyle w:val="Hypertextovodkaz"/>
            <w:noProof/>
          </w:rPr>
          <w:t>1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722A5D">
          <w:rPr>
            <w:rStyle w:val="Hypertextovodkaz"/>
            <w:noProof/>
          </w:rPr>
          <w:t>Analýza hospodaření uplynulého období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_Toc374432416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5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417" w:history="1">
        <w:r w:rsidR="006A07F7" w:rsidRPr="00722A5D">
          <w:rPr>
            <w:rStyle w:val="Hypertextovodkaz"/>
            <w:noProof/>
          </w:rPr>
          <w:t>1.1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722A5D">
          <w:rPr>
            <w:rStyle w:val="Hypertextovodkaz"/>
            <w:noProof/>
          </w:rPr>
          <w:t>Úvod do rozpočtového hospodaření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_Toc374432417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5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418" w:history="1">
        <w:r w:rsidR="006A07F7" w:rsidRPr="00722A5D">
          <w:rPr>
            <w:rStyle w:val="Hypertextovodkaz"/>
            <w:noProof/>
          </w:rPr>
          <w:t>1.2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722A5D">
          <w:rPr>
            <w:rStyle w:val="Hypertextovodkaz"/>
            <w:noProof/>
          </w:rPr>
          <w:t>Analýza hospodaření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_Toc374432418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6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419" w:history="1">
        <w:r w:rsidR="006A07F7" w:rsidRPr="00722A5D">
          <w:rPr>
            <w:rStyle w:val="Hypertextovodkaz"/>
            <w:noProof/>
          </w:rPr>
          <w:t>1.3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722A5D">
          <w:rPr>
            <w:rStyle w:val="Hypertextovodkaz"/>
            <w:noProof/>
          </w:rPr>
          <w:t>Analýza rozpočtu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_Toc374432419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13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420" w:history="1">
        <w:r w:rsidR="006A07F7" w:rsidRPr="00722A5D">
          <w:rPr>
            <w:rStyle w:val="Hypertextovodkaz"/>
            <w:noProof/>
          </w:rPr>
          <w:t>1.4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722A5D">
          <w:rPr>
            <w:rStyle w:val="Hypertextovodkaz"/>
            <w:noProof/>
          </w:rPr>
          <w:t>Závěry analýzy rozpočtu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_Toc374432420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15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Obsah1"/>
        <w:tabs>
          <w:tab w:val="left" w:pos="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421" w:history="1">
        <w:r w:rsidR="006A07F7" w:rsidRPr="00722A5D">
          <w:rPr>
            <w:rStyle w:val="Hypertextovodkaz"/>
            <w:noProof/>
          </w:rPr>
          <w:t>2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722A5D">
          <w:rPr>
            <w:rStyle w:val="Hypertextovodkaz"/>
            <w:noProof/>
          </w:rPr>
          <w:t>Rozpočtový výhled města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_Toc374432421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16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422" w:history="1">
        <w:r w:rsidR="006A07F7" w:rsidRPr="00722A5D">
          <w:rPr>
            <w:rStyle w:val="Hypertextovodkaz"/>
            <w:noProof/>
          </w:rPr>
          <w:t>2.1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722A5D">
          <w:rPr>
            <w:rStyle w:val="Hypertextovodkaz"/>
            <w:noProof/>
          </w:rPr>
          <w:t>Zdroje rozpočtového výhledu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_Toc374432422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16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423" w:history="1">
        <w:r w:rsidR="006A07F7" w:rsidRPr="00722A5D">
          <w:rPr>
            <w:rStyle w:val="Hypertextovodkaz"/>
            <w:noProof/>
          </w:rPr>
          <w:t>2.2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722A5D">
          <w:rPr>
            <w:rStyle w:val="Hypertextovodkaz"/>
            <w:noProof/>
          </w:rPr>
          <w:t>Sestavený rozpočtový výhled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_Toc374432423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16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Obsah1"/>
        <w:tabs>
          <w:tab w:val="left" w:pos="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424" w:history="1">
        <w:r w:rsidR="006A07F7" w:rsidRPr="00722A5D">
          <w:rPr>
            <w:rStyle w:val="Hypertextovodkaz"/>
            <w:noProof/>
          </w:rPr>
          <w:t>3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722A5D">
          <w:rPr>
            <w:rStyle w:val="Hypertextovodkaz"/>
            <w:noProof/>
          </w:rPr>
          <w:t>Ekonomické hodnocení města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_Toc374432424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23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425" w:history="1">
        <w:r w:rsidR="006A07F7" w:rsidRPr="00722A5D">
          <w:rPr>
            <w:rStyle w:val="Hypertextovodkaz"/>
            <w:noProof/>
          </w:rPr>
          <w:t>Závěr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_Toc374432425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24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426" w:history="1">
        <w:r w:rsidR="006A07F7" w:rsidRPr="00722A5D">
          <w:rPr>
            <w:rStyle w:val="Hypertextovodkaz"/>
            <w:noProof/>
          </w:rPr>
          <w:t>Seznam tabulek a grafů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_Toc374432426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27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427" w:history="1">
        <w:r w:rsidR="006A07F7" w:rsidRPr="00722A5D">
          <w:rPr>
            <w:rStyle w:val="Hypertextovodkaz"/>
            <w:noProof/>
          </w:rPr>
          <w:t>Stupnice ekonomického hodnocení AQE advisors, a.s.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_Toc374432427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28</w:t>
        </w:r>
        <w:r w:rsidR="006A07F7">
          <w:rPr>
            <w:noProof/>
            <w:webHidden/>
          </w:rPr>
          <w:fldChar w:fldCharType="end"/>
        </w:r>
      </w:hyperlink>
    </w:p>
    <w:p w:rsidR="00056212" w:rsidRDefault="00902CF0" w:rsidP="00297A5B">
      <w:pPr>
        <w:pStyle w:val="AQE1"/>
        <w:rPr>
          <w:lang w:val="cs-CZ"/>
        </w:rPr>
      </w:pPr>
      <w:r>
        <w:rPr>
          <w:rFonts w:eastAsiaTheme="majorEastAsia" w:cstheme="majorBidi"/>
          <w:szCs w:val="28"/>
          <w:lang w:val="cs-CZ"/>
        </w:rPr>
        <w:fldChar w:fldCharType="end"/>
      </w:r>
      <w:bookmarkStart w:id="9" w:name="_Toc355271388"/>
      <w:bookmarkStart w:id="10" w:name="_Toc374432415"/>
      <w:r w:rsidR="00056212">
        <w:rPr>
          <w:lang w:val="cs-CZ"/>
        </w:rPr>
        <w:t>Úvod</w:t>
      </w:r>
      <w:bookmarkEnd w:id="9"/>
      <w:bookmarkEnd w:id="10"/>
    </w:p>
    <w:p w:rsidR="00056212" w:rsidRDefault="00056212" w:rsidP="00056212">
      <w:r>
        <w:t>Rozpočtový výhled je nástrojem střednědobého plánování a je přínosem i pro ty nejmenší obce.</w:t>
      </w:r>
      <w:r w:rsidRPr="00056212">
        <w:t xml:space="preserve"> </w:t>
      </w:r>
      <w:r w:rsidR="00BB6B35">
        <w:t xml:space="preserve">Umožňuje </w:t>
      </w:r>
      <w:r>
        <w:t xml:space="preserve">nastavit </w:t>
      </w:r>
      <w:r w:rsidRPr="00D03439">
        <w:t>dlouhodobou</w:t>
      </w:r>
      <w:r w:rsidRPr="00D03439">
        <w:rPr>
          <w:rStyle w:val="ZkladntextVerdana95ptTun"/>
        </w:rPr>
        <w:t xml:space="preserve"> </w:t>
      </w:r>
      <w:r w:rsidRPr="00D03439">
        <w:rPr>
          <w:bCs/>
        </w:rPr>
        <w:t>udržitelnost financí,</w:t>
      </w:r>
      <w:r w:rsidRPr="00D03439">
        <w:t xml:space="preserve"> vymezit</w:t>
      </w:r>
      <w:r w:rsidRPr="00D03439">
        <w:rPr>
          <w:bCs/>
        </w:rPr>
        <w:t xml:space="preserve"> finanční možnosti </w:t>
      </w:r>
      <w:r>
        <w:rPr>
          <w:bCs/>
        </w:rPr>
        <w:t>municipality</w:t>
      </w:r>
      <w:r w:rsidRPr="00D03439">
        <w:rPr>
          <w:bCs/>
        </w:rPr>
        <w:t>,</w:t>
      </w:r>
      <w:r w:rsidRPr="00D03439">
        <w:t xml:space="preserve"> zajistit zdravý vývoj financí a schopnost </w:t>
      </w:r>
      <w:r>
        <w:t>územního samosprávného celku</w:t>
      </w:r>
      <w:r w:rsidRPr="00D03439">
        <w:rPr>
          <w:bCs/>
        </w:rPr>
        <w:t xml:space="preserve"> dostát svým závazkům</w:t>
      </w:r>
      <w:r>
        <w:rPr>
          <w:bCs/>
        </w:rPr>
        <w:t>. Vytvoř</w:t>
      </w:r>
      <w:r>
        <w:rPr>
          <w:bCs/>
        </w:rPr>
        <w:t>e</w:t>
      </w:r>
      <w:r>
        <w:rPr>
          <w:bCs/>
        </w:rPr>
        <w:t xml:space="preserve">ním tohoto dokumentu je naplněno povinné ustanovení zákona </w:t>
      </w:r>
      <w:r>
        <w:t xml:space="preserve">č. 250/2000 Sb., o rozpočtových pravidlech územních rozpočtů. Obsah dokumentu přesahuje rámec zákonných náležitostí uvedených v § 3 zmíněného zákona. Nejen že analyzuje hospodaření v minulosti, ale je sestaven v daleko větší podrobnosti, než stanovuje zákon. </w:t>
      </w:r>
      <w:r w:rsidR="00041E26">
        <w:t>I proto usnadňuje takto vytvořený rozpočtový výhled rychlejší sestavení rozpočtu, koncepční a plánovité financování potřeb, přehled o možnostech hospodaření obce v budoucím období, o využití návratného způsobu financování a dlouhodobý komplexní pohled na výsledek hospodaření a finanční situaci územního celku.</w:t>
      </w:r>
      <w:r w:rsidR="00041E26" w:rsidRPr="00041E26">
        <w:t xml:space="preserve"> </w:t>
      </w:r>
      <w:r w:rsidR="00041E26">
        <w:t>Při če</w:t>
      </w:r>
      <w:r w:rsidR="00061473">
        <w:t>rpání finančních prostředků</w:t>
      </w:r>
      <w:r w:rsidR="00041E26">
        <w:t xml:space="preserve"> z EU je přínos rozpočtového výhledu ještě markantnější.</w:t>
      </w:r>
    </w:p>
    <w:p w:rsidR="00842EB2" w:rsidRDefault="00842EB2" w:rsidP="00056212"/>
    <w:p w:rsidR="00041E26" w:rsidRDefault="00041E26" w:rsidP="00056212">
      <w:pPr>
        <w:rPr>
          <w:b/>
          <w:bCs/>
        </w:rPr>
      </w:pPr>
      <w:r>
        <w:t>Pro správnou funkci výhledu je třeba, aby jej samospráva plnila a ročně aktualizovala. Je nutné pru</w:t>
      </w:r>
      <w:r>
        <w:t>ž</w:t>
      </w:r>
      <w:r>
        <w:t xml:space="preserve">ně reagovat na aktuální ekonomickou situaci a </w:t>
      </w:r>
      <w:r w:rsidR="00061473">
        <w:t xml:space="preserve">pravidelně </w:t>
      </w:r>
      <w:r>
        <w:t>rekapitulovat hospodaření samosprávy. Výhodou rozpočtového výhledu je velká možnost manévrování do střednědobé budoucnosti a</w:t>
      </w:r>
      <w:r>
        <w:rPr>
          <w:rStyle w:val="ZkladntextVerdana95ptTun"/>
        </w:rPr>
        <w:t xml:space="preserve"> </w:t>
      </w:r>
      <w:r w:rsidRPr="00AE4BE1">
        <w:t>př</w:t>
      </w:r>
      <w:r w:rsidRPr="00AE4BE1">
        <w:t>i</w:t>
      </w:r>
      <w:r w:rsidRPr="00AE4BE1">
        <w:t>pravit včas strategii hospodaření a financí</w:t>
      </w:r>
      <w:r w:rsidRPr="00AE4BE1">
        <w:rPr>
          <w:b/>
          <w:bCs/>
        </w:rPr>
        <w:t>.</w:t>
      </w:r>
    </w:p>
    <w:p w:rsidR="00F5195C" w:rsidRDefault="00F5195C" w:rsidP="00056212">
      <w:pPr>
        <w:rPr>
          <w:b/>
          <w:bCs/>
        </w:rPr>
      </w:pPr>
    </w:p>
    <w:p w:rsidR="00F5195C" w:rsidRDefault="00F5195C" w:rsidP="00F5195C">
      <w:r>
        <w:t>Podkladem pro tvorbu rozpočtového výhledu se staly následující zdroje:</w:t>
      </w:r>
    </w:p>
    <w:p w:rsidR="00F5195C" w:rsidRPr="00800D3E" w:rsidRDefault="00F5195C" w:rsidP="00F5195C">
      <w:pPr>
        <w:pStyle w:val="Odstavecseseznamem"/>
      </w:pPr>
      <w:r>
        <w:t xml:space="preserve">Účetnictví </w:t>
      </w:r>
      <w:r w:rsidRPr="00800D3E">
        <w:t>let 2008 – 2012</w:t>
      </w:r>
    </w:p>
    <w:p w:rsidR="00F5195C" w:rsidRPr="00800D3E" w:rsidRDefault="00F5195C" w:rsidP="00F5195C">
      <w:pPr>
        <w:pStyle w:val="Odstavecseseznamem"/>
      </w:pPr>
      <w:r w:rsidRPr="00800D3E">
        <w:t>Rozpočty let 2008 – 201</w:t>
      </w:r>
      <w:r w:rsidR="00351757">
        <w:t>2</w:t>
      </w:r>
    </w:p>
    <w:p w:rsidR="00F5195C" w:rsidRDefault="00F5195C" w:rsidP="00F5195C">
      <w:pPr>
        <w:pStyle w:val="Odstavecseseznamem"/>
      </w:pPr>
      <w:r>
        <w:t>Splátkové kalendáře závazků města</w:t>
      </w:r>
    </w:p>
    <w:p w:rsidR="00F5195C" w:rsidRDefault="00F5195C" w:rsidP="00F5195C">
      <w:pPr>
        <w:pStyle w:val="Odstavecseseznamem"/>
      </w:pPr>
      <w:r>
        <w:t xml:space="preserve">Predikce sdílených daní na roky </w:t>
      </w:r>
      <w:r w:rsidRPr="00800D3E">
        <w:t>201</w:t>
      </w:r>
      <w:r w:rsidR="00B6444B">
        <w:t>4</w:t>
      </w:r>
      <w:r w:rsidRPr="00800D3E">
        <w:t xml:space="preserve"> – 201</w:t>
      </w:r>
      <w:r w:rsidR="00B6444B">
        <w:t>6</w:t>
      </w:r>
      <w:r>
        <w:t xml:space="preserve"> ze státního rozpočtu (resp. střednědobého výhl</w:t>
      </w:r>
      <w:r>
        <w:t>e</w:t>
      </w:r>
      <w:r>
        <w:t>du státu)</w:t>
      </w:r>
    </w:p>
    <w:p w:rsidR="000E3E01" w:rsidRDefault="000E3E01" w:rsidP="000E3E01">
      <w:pPr>
        <w:pStyle w:val="Odstavecseseznamem"/>
      </w:pPr>
      <w:r>
        <w:t xml:space="preserve">Platný rozpočet města na rok </w:t>
      </w:r>
      <w:r w:rsidRPr="00800D3E">
        <w:t>2013</w:t>
      </w:r>
    </w:p>
    <w:p w:rsidR="00BB6B35" w:rsidRDefault="00BB6B35" w:rsidP="000E3E01">
      <w:pPr>
        <w:pStyle w:val="Odstavecseseznamem"/>
      </w:pPr>
      <w:r>
        <w:t>Návrh rozpočtu města na rok 2014</w:t>
      </w:r>
    </w:p>
    <w:p w:rsidR="000E3E01" w:rsidRDefault="000E3E01" w:rsidP="000E3E01">
      <w:pPr>
        <w:pStyle w:val="Odstavecseseznamem"/>
      </w:pPr>
      <w:r>
        <w:t>Koeficienty odpovídající potřebám, povinnostem a ekonomickému hospodaření města dle předpokládaného vývoje ekonomiky státu</w:t>
      </w:r>
    </w:p>
    <w:p w:rsidR="000E3E01" w:rsidRDefault="000E3E01" w:rsidP="000E3E01">
      <w:pPr>
        <w:pStyle w:val="Odstavecseseznamem"/>
      </w:pPr>
      <w:r>
        <w:t>Předpokládané nahodilé příjmy a výdaje</w:t>
      </w:r>
    </w:p>
    <w:p w:rsidR="00763574" w:rsidRDefault="00763574" w:rsidP="00763574"/>
    <w:p w:rsidR="00763574" w:rsidRDefault="00800D3E" w:rsidP="00763574">
      <w:r>
        <w:t xml:space="preserve">Aby byla zachována efektivnost rozpočtového výhledu, měl by být každoročně aktualizován a jeho platnost prodloužena o další jeden rok, aby byl znám aktuální stav a vývoj hospodaření. </w:t>
      </w:r>
      <w:r w:rsidRPr="00BE264F">
        <w:t>Za těchto předpokladů má samospráva možnost operativně reagovat</w:t>
      </w:r>
      <w:r>
        <w:t xml:space="preserve"> a svými rozhodnutími korigovat hosp</w:t>
      </w:r>
      <w:r>
        <w:t>o</w:t>
      </w:r>
      <w:r>
        <w:t>daření územního samosprávného celku.</w:t>
      </w:r>
    </w:p>
    <w:p w:rsidR="00F5195C" w:rsidRPr="00056212" w:rsidRDefault="00F5195C" w:rsidP="00056212"/>
    <w:p w:rsidR="009F27C4" w:rsidRDefault="009F27C4">
      <w:pPr>
        <w:spacing w:line="240" w:lineRule="auto"/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74240F" w:rsidRPr="009C797F" w:rsidRDefault="0074240F" w:rsidP="009C797F">
      <w:pPr>
        <w:spacing w:after="120"/>
        <w:rPr>
          <w:b/>
          <w:sz w:val="36"/>
          <w:szCs w:val="36"/>
        </w:rPr>
      </w:pPr>
      <w:r w:rsidRPr="009C797F">
        <w:rPr>
          <w:b/>
          <w:sz w:val="36"/>
          <w:szCs w:val="36"/>
        </w:rPr>
        <w:t>Definice základních pojmů</w:t>
      </w:r>
    </w:p>
    <w:p w:rsidR="009A7D97" w:rsidRDefault="009A7D97" w:rsidP="0074240F">
      <w:pPr>
        <w:pStyle w:val="Odstavecseseznamem"/>
      </w:pPr>
      <w:r w:rsidRPr="009A7D97">
        <w:rPr>
          <w:b/>
        </w:rPr>
        <w:t>Běžné příjmy</w:t>
      </w:r>
      <w:r>
        <w:t xml:space="preserve"> –</w:t>
      </w:r>
      <w:r w:rsidR="000D2F0C">
        <w:t xml:space="preserve"> </w:t>
      </w:r>
      <w:r>
        <w:t>daňov</w:t>
      </w:r>
      <w:r w:rsidR="000D2F0C">
        <w:t>é</w:t>
      </w:r>
      <w:r>
        <w:t xml:space="preserve"> příjm</w:t>
      </w:r>
      <w:r w:rsidR="000D2F0C">
        <w:t>y</w:t>
      </w:r>
      <w:r>
        <w:t>, nedaňov</w:t>
      </w:r>
      <w:r w:rsidR="000D2F0C">
        <w:t>é</w:t>
      </w:r>
      <w:r>
        <w:t xml:space="preserve"> příjm</w:t>
      </w:r>
      <w:r w:rsidR="000D2F0C">
        <w:t>y</w:t>
      </w:r>
      <w:r>
        <w:t xml:space="preserve"> a provozní dotac</w:t>
      </w:r>
      <w:r w:rsidR="000D2F0C">
        <w:t>e</w:t>
      </w:r>
      <w:r>
        <w:t xml:space="preserve"> (transfer</w:t>
      </w:r>
      <w:r w:rsidR="000D2F0C">
        <w:t>y</w:t>
      </w:r>
      <w:r>
        <w:t>)</w:t>
      </w:r>
    </w:p>
    <w:p w:rsidR="00F159F6" w:rsidRDefault="00F159F6" w:rsidP="0074240F">
      <w:pPr>
        <w:pStyle w:val="Odstavecseseznamem"/>
      </w:pPr>
      <w:r>
        <w:rPr>
          <w:b/>
        </w:rPr>
        <w:t xml:space="preserve">Kapitálové příjmy </w:t>
      </w:r>
      <w:r>
        <w:t>– prodej pozemků, ostatních nemovitostí, akcií a majetkových práv</w:t>
      </w:r>
    </w:p>
    <w:p w:rsidR="00F159F6" w:rsidRPr="009A7D97" w:rsidRDefault="00F159F6" w:rsidP="0074240F">
      <w:pPr>
        <w:pStyle w:val="Odstavecseseznamem"/>
      </w:pPr>
      <w:r>
        <w:rPr>
          <w:b/>
        </w:rPr>
        <w:t xml:space="preserve">Kapitálové příjmy celkem </w:t>
      </w:r>
      <w:r>
        <w:t>– obsahují kapitálové příjmy a investiční dotace (transfery)</w:t>
      </w:r>
    </w:p>
    <w:p w:rsidR="0074240F" w:rsidRDefault="0074240F" w:rsidP="0074240F">
      <w:pPr>
        <w:pStyle w:val="Odstavecseseznamem"/>
      </w:pPr>
      <w:r w:rsidRPr="0074240F">
        <w:rPr>
          <w:b/>
        </w:rPr>
        <w:t>Provozní přebytek</w:t>
      </w:r>
      <w:r>
        <w:rPr>
          <w:b/>
        </w:rPr>
        <w:t xml:space="preserve"> </w:t>
      </w:r>
      <w:r w:rsidRPr="009A7D97">
        <w:t>(saldo</w:t>
      </w:r>
      <w:r>
        <w:rPr>
          <w:b/>
        </w:rPr>
        <w:t xml:space="preserve"> </w:t>
      </w:r>
      <w:r w:rsidR="009A7D97">
        <w:t>provozního rozpočtu)</w:t>
      </w:r>
      <w:r>
        <w:t xml:space="preserve"> </w:t>
      </w:r>
      <w:r w:rsidR="009A7D97">
        <w:t>–</w:t>
      </w:r>
      <w:r>
        <w:t xml:space="preserve"> </w:t>
      </w:r>
      <w:r w:rsidR="009A7D97">
        <w:t xml:space="preserve">rozdíl běžných příjmů a běžných </w:t>
      </w:r>
      <w:r w:rsidR="000D2F0C">
        <w:t xml:space="preserve">výdajů. </w:t>
      </w:r>
      <w:r w:rsidR="00061473">
        <w:t>Výše provozního přebytku b</w:t>
      </w:r>
      <w:r w:rsidR="009A7D97">
        <w:t xml:space="preserve">y měla </w:t>
      </w:r>
      <w:r w:rsidR="009A7D97" w:rsidRPr="009A7D97">
        <w:rPr>
          <w:b/>
        </w:rPr>
        <w:t>vždy</w:t>
      </w:r>
      <w:r w:rsidR="009A7D97">
        <w:t xml:space="preserve"> nabývat kladných hodnot</w:t>
      </w:r>
      <w:r w:rsidR="00E80C01">
        <w:t xml:space="preserve"> a neměl</w:t>
      </w:r>
      <w:r w:rsidR="000D2F0C">
        <w:t>a</w:t>
      </w:r>
      <w:r w:rsidR="00E80C01">
        <w:t xml:space="preserve"> by v čase klesat.</w:t>
      </w:r>
    </w:p>
    <w:p w:rsidR="009A7D97" w:rsidRDefault="009A7D97" w:rsidP="0074240F">
      <w:pPr>
        <w:pStyle w:val="Odstavecseseznamem"/>
      </w:pPr>
      <w:r>
        <w:rPr>
          <w:b/>
        </w:rPr>
        <w:t>Rozdíl provozního přebytku a splátek jistin</w:t>
      </w:r>
      <w:r>
        <w:t xml:space="preserve"> – rozdíl provozního salda a splátek krátkod</w:t>
      </w:r>
      <w:r>
        <w:t>o</w:t>
      </w:r>
      <w:r>
        <w:t>bých i dlouhodobých úvěrů. Také výše tohoto ukazatele by měla</w:t>
      </w:r>
      <w:r w:rsidR="000D2F0C" w:rsidRPr="000D2F0C">
        <w:t xml:space="preserve"> </w:t>
      </w:r>
      <w:r w:rsidR="000D2F0C">
        <w:t>být</w:t>
      </w:r>
      <w:r>
        <w:t xml:space="preserve"> </w:t>
      </w:r>
      <w:r>
        <w:rPr>
          <w:b/>
        </w:rPr>
        <w:t xml:space="preserve">vždy </w:t>
      </w:r>
      <w:r>
        <w:t>kladná</w:t>
      </w:r>
    </w:p>
    <w:p w:rsidR="009A7D97" w:rsidRPr="009A7D97" w:rsidRDefault="009A7D97" w:rsidP="0074240F">
      <w:pPr>
        <w:pStyle w:val="Odstavecseseznamem"/>
      </w:pPr>
      <w:r>
        <w:rPr>
          <w:b/>
        </w:rPr>
        <w:t>Saldo bez financování</w:t>
      </w:r>
      <w:r w:rsidR="00140256">
        <w:t xml:space="preserve"> – rozdíl celkových příjmů a výdajů</w:t>
      </w:r>
    </w:p>
    <w:p w:rsidR="009A7D97" w:rsidRPr="009A7D97" w:rsidRDefault="009A7D97" w:rsidP="0074240F">
      <w:pPr>
        <w:pStyle w:val="Odstavecseseznamem"/>
      </w:pPr>
      <w:r>
        <w:rPr>
          <w:b/>
        </w:rPr>
        <w:t>Saldo úplné</w:t>
      </w:r>
      <w:r w:rsidR="00C040F3">
        <w:rPr>
          <w:b/>
        </w:rPr>
        <w:t xml:space="preserve"> </w:t>
      </w:r>
      <w:r w:rsidR="00C040F3">
        <w:t>(saldo rozpočtu)</w:t>
      </w:r>
      <w:r w:rsidR="00140256">
        <w:rPr>
          <w:b/>
        </w:rPr>
        <w:t xml:space="preserve"> </w:t>
      </w:r>
      <w:r w:rsidR="00140256">
        <w:t>–</w:t>
      </w:r>
      <w:r w:rsidR="00F141DD">
        <w:t xml:space="preserve"> </w:t>
      </w:r>
      <w:r w:rsidR="00140256">
        <w:t>celkové příjmy a přijaté úvěry minus celkové výdaje a uhrazené splátky úvěrů</w:t>
      </w:r>
    </w:p>
    <w:p w:rsidR="009A7D97" w:rsidRPr="009A7D97" w:rsidRDefault="009A7D97" w:rsidP="0074240F">
      <w:pPr>
        <w:pStyle w:val="Odstavecseseznamem"/>
      </w:pPr>
      <w:r>
        <w:rPr>
          <w:b/>
        </w:rPr>
        <w:t>Dluhová základna</w:t>
      </w:r>
      <w:r w:rsidR="00061473">
        <w:t xml:space="preserve"> </w:t>
      </w:r>
      <w:r w:rsidR="00140256">
        <w:t xml:space="preserve">– </w:t>
      </w:r>
      <w:r w:rsidR="000D2F0C">
        <w:t>celkové příjmy po konsolidaci</w:t>
      </w:r>
    </w:p>
    <w:p w:rsidR="009A7D97" w:rsidRPr="009A7D97" w:rsidRDefault="009A7D97" w:rsidP="0074240F">
      <w:pPr>
        <w:pStyle w:val="Odstavecseseznamem"/>
      </w:pPr>
      <w:r>
        <w:rPr>
          <w:b/>
        </w:rPr>
        <w:t>Dluhová služba</w:t>
      </w:r>
      <w:r w:rsidR="00F141DD">
        <w:t xml:space="preserve"> – součet splátek úroků</w:t>
      </w:r>
      <w:r w:rsidR="00443377">
        <w:t xml:space="preserve"> a splátek jistin</w:t>
      </w:r>
    </w:p>
    <w:p w:rsidR="009A7D97" w:rsidRPr="009A7D97" w:rsidRDefault="009A7D97" w:rsidP="0074240F">
      <w:pPr>
        <w:pStyle w:val="Odstavecseseznamem"/>
      </w:pPr>
      <w:r>
        <w:rPr>
          <w:b/>
        </w:rPr>
        <w:t>Ukazatel dluhové služby</w:t>
      </w:r>
      <w:r w:rsidR="00F141DD">
        <w:t xml:space="preserve"> – podíl dluhové </w:t>
      </w:r>
      <w:r w:rsidR="00BB6B35">
        <w:t>služby</w:t>
      </w:r>
      <w:r w:rsidR="00F141DD">
        <w:t xml:space="preserve"> a dluhové </w:t>
      </w:r>
      <w:r w:rsidR="00BB6B35">
        <w:t>základny</w:t>
      </w:r>
      <w:r w:rsidR="00F141DD">
        <w:t xml:space="preserve">. Jeho hodnota by neměla přesáhnout </w:t>
      </w:r>
      <w:r w:rsidR="00800D3E">
        <w:t>25</w:t>
      </w:r>
      <w:r w:rsidR="00061473">
        <w:t xml:space="preserve"> </w:t>
      </w:r>
      <w:r w:rsidR="00F141DD">
        <w:t>%</w:t>
      </w:r>
    </w:p>
    <w:p w:rsidR="009A7D97" w:rsidRPr="001C7558" w:rsidRDefault="00EA1526" w:rsidP="0074240F">
      <w:pPr>
        <w:pStyle w:val="Odstavecseseznamem"/>
        <w:rPr>
          <w:b/>
        </w:rPr>
      </w:pPr>
      <w:r w:rsidRPr="00EA1526">
        <w:rPr>
          <w:b/>
        </w:rPr>
        <w:t xml:space="preserve">Index </w:t>
      </w:r>
      <w:r>
        <w:rPr>
          <w:b/>
        </w:rPr>
        <w:t>provozních úspor</w:t>
      </w:r>
      <w:r w:rsidR="00F141DD">
        <w:t xml:space="preserve"> – podíl provozního přebytku a běžných příjmů. Výše tohoto ukazatele by neměla klesnout pod 10</w:t>
      </w:r>
      <w:r w:rsidR="00061473">
        <w:t xml:space="preserve"> </w:t>
      </w:r>
      <w:r w:rsidR="00F141DD">
        <w:t xml:space="preserve">%. Ideální </w:t>
      </w:r>
      <w:r w:rsidR="00061473">
        <w:t xml:space="preserve">hodnota se nachází v </w:t>
      </w:r>
      <w:r w:rsidR="00F141DD" w:rsidRPr="00F141DD">
        <w:t>interval</w:t>
      </w:r>
      <w:r w:rsidR="00061473">
        <w:t>u</w:t>
      </w:r>
      <w:r w:rsidR="00F141DD" w:rsidRPr="00F141DD">
        <w:t xml:space="preserve"> </w:t>
      </w:r>
      <w:r w:rsidR="00A6217E">
        <w:t>2</w:t>
      </w:r>
      <w:r w:rsidR="00800D3E">
        <w:t>0</w:t>
      </w:r>
      <w:r w:rsidR="00F141DD" w:rsidRPr="00F141DD">
        <w:t xml:space="preserve"> – </w:t>
      </w:r>
      <w:r w:rsidR="00800D3E">
        <w:t>25</w:t>
      </w:r>
      <w:r w:rsidR="00061473">
        <w:t xml:space="preserve"> </w:t>
      </w:r>
      <w:r w:rsidR="00F141DD" w:rsidRPr="00F141DD">
        <w:t>%.</w:t>
      </w:r>
    </w:p>
    <w:p w:rsidR="001C7558" w:rsidRDefault="001C7558" w:rsidP="001C7558">
      <w:pPr>
        <w:rPr>
          <w:b/>
        </w:rPr>
      </w:pPr>
    </w:p>
    <w:p w:rsidR="001C7558" w:rsidRPr="009C797F" w:rsidRDefault="001C7558" w:rsidP="009C797F">
      <w:pPr>
        <w:spacing w:after="120"/>
        <w:rPr>
          <w:b/>
          <w:sz w:val="36"/>
          <w:szCs w:val="36"/>
        </w:rPr>
      </w:pPr>
      <w:r w:rsidRPr="009C797F">
        <w:rPr>
          <w:b/>
          <w:sz w:val="36"/>
          <w:szCs w:val="36"/>
        </w:rPr>
        <w:t>Použité zkratky</w:t>
      </w:r>
    </w:p>
    <w:p w:rsidR="001C7558" w:rsidRPr="009053B0" w:rsidRDefault="009053B0" w:rsidP="009053B0">
      <w:pPr>
        <w:pStyle w:val="Odstavecseseznamem"/>
        <w:rPr>
          <w:b/>
        </w:rPr>
      </w:pPr>
      <w:r w:rsidRPr="009053B0">
        <w:rPr>
          <w:b/>
        </w:rPr>
        <w:t>UC</w:t>
      </w:r>
      <w:r>
        <w:t xml:space="preserve"> – účetní skutečnost</w:t>
      </w:r>
    </w:p>
    <w:p w:rsidR="009053B0" w:rsidRPr="009053B0" w:rsidRDefault="009053B0" w:rsidP="009053B0">
      <w:pPr>
        <w:pStyle w:val="Odstavecseseznamem"/>
        <w:rPr>
          <w:b/>
        </w:rPr>
      </w:pPr>
      <w:r>
        <w:rPr>
          <w:b/>
        </w:rPr>
        <w:t>RS</w:t>
      </w:r>
      <w:r>
        <w:t xml:space="preserve"> – schválený rozpočet</w:t>
      </w:r>
    </w:p>
    <w:p w:rsidR="009053B0" w:rsidRPr="009053B0" w:rsidRDefault="009053B0" w:rsidP="009053B0">
      <w:pPr>
        <w:pStyle w:val="Odstavecseseznamem"/>
        <w:rPr>
          <w:b/>
        </w:rPr>
      </w:pPr>
      <w:r>
        <w:rPr>
          <w:b/>
        </w:rPr>
        <w:t>RU</w:t>
      </w:r>
      <w:r>
        <w:t xml:space="preserve"> – upravený rozpočet</w:t>
      </w:r>
    </w:p>
    <w:p w:rsidR="009053B0" w:rsidRPr="009053B0" w:rsidRDefault="009053B0" w:rsidP="009053B0">
      <w:pPr>
        <w:pStyle w:val="Odstavecseseznamem"/>
        <w:rPr>
          <w:b/>
        </w:rPr>
      </w:pPr>
      <w:r>
        <w:rPr>
          <w:b/>
        </w:rPr>
        <w:t>RV</w:t>
      </w:r>
      <w:r>
        <w:t xml:space="preserve"> – rozpočtový výhled</w:t>
      </w:r>
    </w:p>
    <w:p w:rsidR="009053B0" w:rsidRPr="009053B0" w:rsidRDefault="009053B0" w:rsidP="009053B0">
      <w:pPr>
        <w:pStyle w:val="Odstavecseseznamem"/>
        <w:rPr>
          <w:b/>
        </w:rPr>
      </w:pPr>
      <w:r>
        <w:rPr>
          <w:b/>
        </w:rPr>
        <w:t>PP</w:t>
      </w:r>
      <w:r>
        <w:t xml:space="preserve"> – provozní přebytek</w:t>
      </w:r>
    </w:p>
    <w:p w:rsidR="009053B0" w:rsidRPr="009053B0" w:rsidRDefault="009053B0" w:rsidP="009053B0">
      <w:pPr>
        <w:pStyle w:val="Odstavecseseznamem"/>
        <w:rPr>
          <w:b/>
        </w:rPr>
      </w:pPr>
      <w:r>
        <w:rPr>
          <w:b/>
        </w:rPr>
        <w:t>HČ</w:t>
      </w:r>
      <w:r>
        <w:t xml:space="preserve"> – hospodářská (podnikatelská) činnost</w:t>
      </w:r>
    </w:p>
    <w:p w:rsidR="009053B0" w:rsidRPr="009053B0" w:rsidRDefault="009053B0" w:rsidP="009053B0">
      <w:pPr>
        <w:pStyle w:val="Odstavecseseznamem"/>
        <w:rPr>
          <w:b/>
        </w:rPr>
      </w:pPr>
      <w:r>
        <w:rPr>
          <w:b/>
        </w:rPr>
        <w:t>PO</w:t>
      </w:r>
      <w:r>
        <w:t xml:space="preserve"> – příspěvková organizace</w:t>
      </w:r>
    </w:p>
    <w:p w:rsidR="009053B0" w:rsidRPr="009053B0" w:rsidRDefault="009053B0" w:rsidP="009053B0">
      <w:pPr>
        <w:pStyle w:val="Odstavecseseznamem"/>
        <w:rPr>
          <w:b/>
        </w:rPr>
      </w:pPr>
      <w:r>
        <w:rPr>
          <w:b/>
        </w:rPr>
        <w:t>DPFO</w:t>
      </w:r>
      <w:r>
        <w:t xml:space="preserve"> – daň z příjmů fyzických osob</w:t>
      </w:r>
    </w:p>
    <w:p w:rsidR="009053B0" w:rsidRPr="008F73C1" w:rsidRDefault="009053B0" w:rsidP="009053B0">
      <w:pPr>
        <w:pStyle w:val="Odstavecseseznamem"/>
        <w:rPr>
          <w:b/>
        </w:rPr>
      </w:pPr>
      <w:r>
        <w:rPr>
          <w:b/>
        </w:rPr>
        <w:t>ZČ</w:t>
      </w:r>
      <w:r>
        <w:t xml:space="preserve"> – závislá činnost</w:t>
      </w:r>
    </w:p>
    <w:p w:rsidR="008F73C1" w:rsidRPr="008F73C1" w:rsidRDefault="008F73C1" w:rsidP="009053B0">
      <w:pPr>
        <w:pStyle w:val="Odstavecseseznamem"/>
        <w:rPr>
          <w:b/>
        </w:rPr>
      </w:pPr>
      <w:r>
        <w:rPr>
          <w:b/>
        </w:rPr>
        <w:t>OSVČ (SČ)</w:t>
      </w:r>
      <w:r>
        <w:t xml:space="preserve"> – osoby samostatně výdělečně činné</w:t>
      </w:r>
    </w:p>
    <w:p w:rsidR="008F73C1" w:rsidRPr="008F73C1" w:rsidRDefault="008F73C1" w:rsidP="009053B0">
      <w:pPr>
        <w:pStyle w:val="Odstavecseseznamem"/>
        <w:rPr>
          <w:b/>
        </w:rPr>
      </w:pPr>
      <w:r>
        <w:rPr>
          <w:b/>
        </w:rPr>
        <w:t>KV</w:t>
      </w:r>
      <w:r>
        <w:t xml:space="preserve"> – kapitálové výnosy</w:t>
      </w:r>
    </w:p>
    <w:p w:rsidR="008F73C1" w:rsidRPr="008F73C1" w:rsidRDefault="008F73C1" w:rsidP="009053B0">
      <w:pPr>
        <w:pStyle w:val="Odstavecseseznamem"/>
        <w:rPr>
          <w:b/>
        </w:rPr>
      </w:pPr>
      <w:r>
        <w:rPr>
          <w:b/>
        </w:rPr>
        <w:t>DPPO</w:t>
      </w:r>
      <w:r>
        <w:t xml:space="preserve"> – daň z příjmů právnických osob</w:t>
      </w:r>
    </w:p>
    <w:p w:rsidR="008F73C1" w:rsidRPr="008F73C1" w:rsidRDefault="008F73C1" w:rsidP="009053B0">
      <w:pPr>
        <w:pStyle w:val="Odstavecseseznamem"/>
        <w:rPr>
          <w:b/>
        </w:rPr>
      </w:pPr>
      <w:r>
        <w:rPr>
          <w:b/>
        </w:rPr>
        <w:t>DPH</w:t>
      </w:r>
      <w:r>
        <w:t xml:space="preserve"> – daň z přidané hodnoty</w:t>
      </w:r>
    </w:p>
    <w:p w:rsidR="008F73C1" w:rsidRPr="00505A60" w:rsidRDefault="008F73C1" w:rsidP="009053B0">
      <w:pPr>
        <w:pStyle w:val="Odstavecseseznamem"/>
        <w:rPr>
          <w:b/>
        </w:rPr>
      </w:pPr>
      <w:r>
        <w:rPr>
          <w:b/>
        </w:rPr>
        <w:t>MF</w:t>
      </w:r>
      <w:r>
        <w:t xml:space="preserve"> – ministerstvo financí</w:t>
      </w:r>
    </w:p>
    <w:p w:rsidR="00505A60" w:rsidRPr="009053B0" w:rsidRDefault="00505A60" w:rsidP="009053B0">
      <w:pPr>
        <w:pStyle w:val="Odstavecseseznamem"/>
        <w:rPr>
          <w:b/>
        </w:rPr>
      </w:pPr>
      <w:r>
        <w:rPr>
          <w:b/>
        </w:rPr>
        <w:t xml:space="preserve">SML </w:t>
      </w:r>
      <w:r w:rsidRPr="00505A60">
        <w:t>– Statutární město Liberec</w:t>
      </w:r>
    </w:p>
    <w:p w:rsidR="00803120" w:rsidRPr="0046738C" w:rsidRDefault="00803120" w:rsidP="0025003C">
      <w:pPr>
        <w:pStyle w:val="Nadpis1"/>
        <w:rPr>
          <w:lang w:val="cs-CZ"/>
        </w:rPr>
      </w:pPr>
      <w:bookmarkStart w:id="11" w:name="_Toc374432416"/>
      <w:r w:rsidRPr="0046738C">
        <w:rPr>
          <w:lang w:val="cs-CZ"/>
        </w:rPr>
        <w:t>Analýza hospodaření uplynulého období</w:t>
      </w:r>
      <w:bookmarkEnd w:id="11"/>
    </w:p>
    <w:p w:rsidR="00851069" w:rsidRDefault="00851069" w:rsidP="00803120">
      <w:r>
        <w:t>Analýza hospodaření dává ucelený přeh</w:t>
      </w:r>
      <w:r w:rsidR="00AC706B">
        <w:t>led o hospodaření předcházejících</w:t>
      </w:r>
      <w:r>
        <w:t xml:space="preserve"> období a zároveň slouží jako důležitý podklad při modelování a tvorbě rozpočtového výhledu.</w:t>
      </w:r>
    </w:p>
    <w:p w:rsidR="0025003C" w:rsidRPr="0046738C" w:rsidRDefault="0025003C" w:rsidP="0025003C">
      <w:pPr>
        <w:pStyle w:val="Nadpis2"/>
      </w:pPr>
      <w:bookmarkStart w:id="12" w:name="_Toc374432417"/>
      <w:r w:rsidRPr="0046738C">
        <w:t>Úvod do rozpočtového hospodaření</w:t>
      </w:r>
      <w:bookmarkEnd w:id="12"/>
    </w:p>
    <w:p w:rsidR="0025003C" w:rsidRDefault="0025003C" w:rsidP="0025003C">
      <w:r>
        <w:t>Při vyhodnocování finančního hospodaření municipality si je třeba uvědomit, že rozpočet i rozpočt</w:t>
      </w:r>
      <w:r>
        <w:t>o</w:t>
      </w:r>
      <w:r>
        <w:t>vý výhled se skládá z příjmů a výdajů.</w:t>
      </w:r>
    </w:p>
    <w:p w:rsidR="00AC706B" w:rsidRDefault="00AC706B" w:rsidP="0025003C"/>
    <w:p w:rsidR="0025003C" w:rsidRDefault="0025003C" w:rsidP="0025003C">
      <w:r w:rsidRPr="00E42484">
        <w:rPr>
          <w:b/>
        </w:rPr>
        <w:t>Příjmy</w:t>
      </w:r>
      <w:r>
        <w:t xml:space="preserve"> územně samosprávného celku jsou veškeré nenávratně inkasované prostředky, opětované i neopětované, včetně přijatých darů a dotací, a přijaté splátky půjček v rámci rozpočtové politiky.</w:t>
      </w:r>
      <w:r w:rsidR="00B9683C">
        <w:t xml:space="preserve"> </w:t>
      </w:r>
      <w:r>
        <w:t>Příjmy jsou členěny na běžné a kapitálové. Běžné příjmy jsou tvořeny příjmy daňovými, nedaňovými a provozními dotacemi. Jedná se tedy o každoročně se opakující příjmy, které slouží k pokrytí bě</w:t>
      </w:r>
      <w:r>
        <w:t>ž</w:t>
      </w:r>
      <w:r>
        <w:t>ných výdajů. Kapitálové příjmy, tj. příjmy z prodeje dlouhodobého a finančního majetku a investiční dotace, mají charakter nahodilých příjmů a jsou určeny především k pokrytí investičních záměrů územního samosprávného celku.</w:t>
      </w:r>
    </w:p>
    <w:p w:rsidR="00AC706B" w:rsidRDefault="00AC706B" w:rsidP="0025003C"/>
    <w:p w:rsidR="00E42484" w:rsidRDefault="00800D3E" w:rsidP="00E42484">
      <w:r w:rsidRPr="00E42484">
        <w:rPr>
          <w:b/>
        </w:rPr>
        <w:t>Výdaje</w:t>
      </w:r>
      <w:r>
        <w:t xml:space="preserve"> jsou veškeré nenávratné platby na běžné (neinvestiční) i kapitálové (investiční) účely, opět</w:t>
      </w:r>
      <w:r>
        <w:t>o</w:t>
      </w:r>
      <w:r>
        <w:t xml:space="preserve">vané i neopětované, a poskytované návratné platby (půjčky) v rámci rozpočtové politiky. Běžné (nebo také provozní) výdaje musí obec/město vynaložit ze zákona nebo těmito výdaji financovat provozní aktivity. Realizace záměrů a potřeb města </w:t>
      </w:r>
      <w:r w:rsidRPr="00BE264F">
        <w:t>včetně</w:t>
      </w:r>
      <w:r>
        <w:t xml:space="preserve"> naplňování volebního programu se usk</w:t>
      </w:r>
      <w:r>
        <w:t>u</w:t>
      </w:r>
      <w:r>
        <w:t xml:space="preserve">tečňuje prostřednictvím výdajů. Město k těmto cílům používá veřejné prostředky, </w:t>
      </w:r>
      <w:r w:rsidRPr="00BE264F">
        <w:t>proto musí</w:t>
      </w:r>
      <w:r>
        <w:t xml:space="preserve"> důkladně analyzovat vynaložené finanční prostředky.</w:t>
      </w:r>
    </w:p>
    <w:p w:rsidR="00AC706B" w:rsidRDefault="00AC706B" w:rsidP="00E42484"/>
    <w:p w:rsidR="0025003C" w:rsidRDefault="00800D3E" w:rsidP="0025003C">
      <w:r>
        <w:t xml:space="preserve">Rozdíl mezi běžnými příjmy a běžnými výdaji se nazývá </w:t>
      </w:r>
      <w:r w:rsidRPr="00C56822">
        <w:rPr>
          <w:b/>
        </w:rPr>
        <w:t>provozní přebytek</w:t>
      </w:r>
      <w:r>
        <w:t xml:space="preserve">. Jsou to prostředky, které zůstávají obci zpravidla na financování investičních záměrů obce. Rozdíl mezi veškerými příjmy a všemi výdaji během rozpočtového roku (od 1. ledna do 31. prosince daného roku) se nazývá </w:t>
      </w:r>
      <w:r w:rsidRPr="00C56822">
        <w:rPr>
          <w:b/>
        </w:rPr>
        <w:t>saldo rozpočtu</w:t>
      </w:r>
      <w:r>
        <w:t xml:space="preserve"> (celkové saldo rozpočtu). Z těchto dvou indikátorů je </w:t>
      </w:r>
      <w:r w:rsidRPr="00C040F3">
        <w:t>mnohem</w:t>
      </w:r>
      <w:r>
        <w:t xml:space="preserve"> </w:t>
      </w:r>
      <w:r w:rsidRPr="00C040F3">
        <w:rPr>
          <w:b/>
        </w:rPr>
        <w:t>důležitější</w:t>
      </w:r>
      <w:r>
        <w:t xml:space="preserve"> provozní přeb</w:t>
      </w:r>
      <w:r>
        <w:t>y</w:t>
      </w:r>
      <w:r>
        <w:t xml:space="preserve">tek než saldo rozpočtu. Důležitost </w:t>
      </w:r>
      <w:r w:rsidRPr="00BE264F">
        <w:t>monitorování tohoto indikátoru se</w:t>
      </w:r>
      <w:r>
        <w:t xml:space="preserve"> zvyšuje, pokud indikátory nabývají záporných hodnot. Jestliže je schválen deficitní rozpočet (je realizováno více výdajů než příjmů), může být tento deficit pokryt z úspor hospodaření z minulých let. Záporný provozní přeb</w:t>
      </w:r>
      <w:r>
        <w:t>y</w:t>
      </w:r>
      <w:r>
        <w:t>tek (provozní saldo) indikuje možné ohrožení hospodaření municipality. Ve svém důsledku tato skutečnost značí, že obec/město nemá dostatek provozních příjmů na úhradu svých běžných (pr</w:t>
      </w:r>
      <w:r>
        <w:t>o</w:t>
      </w:r>
      <w:r>
        <w:t>vozních) výdajů. Tento provozní schodek musí pak pokrýt buď prodejem majetku, nebo úvěrem.</w:t>
      </w:r>
    </w:p>
    <w:p w:rsidR="00AC706B" w:rsidRDefault="00AC706B" w:rsidP="0025003C"/>
    <w:p w:rsidR="00AC706B" w:rsidRDefault="0031214B" w:rsidP="0025003C">
      <w:r w:rsidRPr="0031214B">
        <w:rPr>
          <w:b/>
        </w:rPr>
        <w:t>Index provozních úspor</w:t>
      </w:r>
      <w:r>
        <w:t xml:space="preserve"> vyjadřuje využitelnost provozních prostředků, tj. jaká část provozních pr</w:t>
      </w:r>
      <w:r>
        <w:t>o</w:t>
      </w:r>
      <w:r>
        <w:t xml:space="preserve">středků </w:t>
      </w:r>
      <w:r w:rsidR="007306E0">
        <w:t xml:space="preserve">může být využita </w:t>
      </w:r>
      <w:r>
        <w:t>na krytí investičních záměrů města. Optimální hodnota ukazatele se pohybuje okolo 20</w:t>
      </w:r>
      <w:r w:rsidR="00160FFF">
        <w:t xml:space="preserve"> </w:t>
      </w:r>
      <w:r>
        <w:t>% a neměla by klesnout pod 10</w:t>
      </w:r>
      <w:r w:rsidR="00160FFF">
        <w:t xml:space="preserve"> </w:t>
      </w:r>
      <w:r>
        <w:t>%, která je považována za minimální hodnotu tohoto ukazatele.</w:t>
      </w:r>
    </w:p>
    <w:p w:rsidR="00AC706B" w:rsidRDefault="00AC706B" w:rsidP="0025003C"/>
    <w:p w:rsidR="00AC706B" w:rsidRDefault="0031214B" w:rsidP="0025003C">
      <w:r>
        <w:rPr>
          <w:b/>
        </w:rPr>
        <w:t>Ukazatel</w:t>
      </w:r>
      <w:r w:rsidRPr="0031214B">
        <w:rPr>
          <w:b/>
        </w:rPr>
        <w:t xml:space="preserve"> dluhové služby</w:t>
      </w:r>
      <w:r>
        <w:t xml:space="preserve"> vyjadřuje procentuální poměr </w:t>
      </w:r>
      <w:r w:rsidRPr="0031214B">
        <w:rPr>
          <w:b/>
        </w:rPr>
        <w:t>dluhové služby</w:t>
      </w:r>
      <w:r>
        <w:t xml:space="preserve"> a </w:t>
      </w:r>
      <w:r w:rsidRPr="0031214B">
        <w:rPr>
          <w:b/>
        </w:rPr>
        <w:t>dluhové základny</w:t>
      </w:r>
      <w:r>
        <w:t>. N</w:t>
      </w:r>
      <w:r>
        <w:t>e</w:t>
      </w:r>
      <w:r>
        <w:t xml:space="preserve">měl by přesáhnout hodnotu </w:t>
      </w:r>
      <w:r w:rsidR="00800D3E">
        <w:t>25</w:t>
      </w:r>
      <w:r w:rsidR="00B9683C">
        <w:t xml:space="preserve"> </w:t>
      </w:r>
      <w:r w:rsidR="007306E0">
        <w:t>%.</w:t>
      </w:r>
      <w:r>
        <w:t xml:space="preserve"> Dluhová služba je definována jako součet splátek jistin a finančních prostředků použitých </w:t>
      </w:r>
      <w:r w:rsidRPr="007306E0">
        <w:t xml:space="preserve">na </w:t>
      </w:r>
      <w:r w:rsidR="00160FFF" w:rsidRPr="007306E0">
        <w:t>úhradu</w:t>
      </w:r>
      <w:r w:rsidR="00160FFF">
        <w:t xml:space="preserve"> úroků</w:t>
      </w:r>
      <w:r>
        <w:t xml:space="preserve"> z přijatých úvěrů. Dluhová základna je hodnota celkových příjmů po konsolidaci.</w:t>
      </w:r>
    </w:p>
    <w:p w:rsidR="0025003C" w:rsidRPr="00AA4811" w:rsidRDefault="00762E49" w:rsidP="00762E49">
      <w:pPr>
        <w:pStyle w:val="Nadpis2"/>
      </w:pPr>
      <w:bookmarkStart w:id="13" w:name="_Toc374432418"/>
      <w:r w:rsidRPr="00AA4811">
        <w:t>Analýza hospodaření</w:t>
      </w:r>
      <w:bookmarkEnd w:id="13"/>
    </w:p>
    <w:p w:rsidR="00E82CDD" w:rsidRDefault="00505A60" w:rsidP="00803120">
      <w:r>
        <w:t>Analýza hospodaření</w:t>
      </w:r>
      <w:r w:rsidR="00803120">
        <w:t xml:space="preserve"> </w:t>
      </w:r>
      <w:r w:rsidR="00B001AB">
        <w:t>je základním krokem pro sestavení rozpočtového výhledu.</w:t>
      </w:r>
      <w:r w:rsidR="00092C15">
        <w:t xml:space="preserve"> </w:t>
      </w:r>
      <w:r w:rsidR="005D2C65" w:rsidRPr="005D2C65">
        <w:t>Celková bilance</w:t>
      </w:r>
      <w:r w:rsidR="005D2C65">
        <w:t xml:space="preserve"> uk</w:t>
      </w:r>
      <w:r w:rsidR="005D2C65">
        <w:t>a</w:t>
      </w:r>
      <w:r w:rsidR="005D2C65">
        <w:t xml:space="preserve">zuje, že </w:t>
      </w:r>
      <w:r w:rsidR="000556A3">
        <w:t>SML</w:t>
      </w:r>
      <w:r w:rsidR="005D2C65">
        <w:t xml:space="preserve"> hospodařilo v jednotlivých letech s</w:t>
      </w:r>
      <w:r w:rsidR="00DC68EA">
        <w:t> </w:t>
      </w:r>
      <w:r w:rsidR="005D2C65">
        <w:t>příjmy v celkových ob</w:t>
      </w:r>
      <w:r w:rsidR="004F3D91">
        <w:t xml:space="preserve">jemech </w:t>
      </w:r>
      <w:r>
        <w:t xml:space="preserve">1 635,0 </w:t>
      </w:r>
      <w:r w:rsidR="000556A3">
        <w:t>-</w:t>
      </w:r>
      <w:r w:rsidR="005D2C65">
        <w:t xml:space="preserve"> </w:t>
      </w:r>
      <w:r>
        <w:t>2 616,9</w:t>
      </w:r>
      <w:r w:rsidR="00DC68EA">
        <w:t xml:space="preserve"> </w:t>
      </w:r>
      <w:r w:rsidR="005D2C65">
        <w:t>mil.</w:t>
      </w:r>
      <w:r w:rsidR="00DC68EA">
        <w:t xml:space="preserve"> </w:t>
      </w:r>
      <w:r w:rsidR="004F3D91">
        <w:t xml:space="preserve">Kč </w:t>
      </w:r>
      <w:r w:rsidR="00DC68EA">
        <w:t>(</w:t>
      </w:r>
      <w:r w:rsidR="000556A3">
        <w:t xml:space="preserve">2012, resp. </w:t>
      </w:r>
      <w:r>
        <w:t>2008</w:t>
      </w:r>
      <w:r w:rsidR="004F3D91">
        <w:t xml:space="preserve">) a výdaji </w:t>
      </w:r>
      <w:r w:rsidR="000556A3">
        <w:t>mezi</w:t>
      </w:r>
      <w:r>
        <w:t xml:space="preserve"> 1 671,0 </w:t>
      </w:r>
      <w:r w:rsidR="000556A3">
        <w:t>-</w:t>
      </w:r>
      <w:r w:rsidR="00DC68EA">
        <w:t xml:space="preserve"> </w:t>
      </w:r>
      <w:r>
        <w:t>3 481,4</w:t>
      </w:r>
      <w:r w:rsidR="00DC68EA">
        <w:t xml:space="preserve"> mil. Kč (</w:t>
      </w:r>
      <w:r w:rsidR="000556A3">
        <w:t xml:space="preserve">2012, resp. </w:t>
      </w:r>
      <w:r w:rsidR="004F3D91">
        <w:t>20</w:t>
      </w:r>
      <w:r>
        <w:t>10</w:t>
      </w:r>
      <w:r w:rsidR="00DC68EA">
        <w:t>)</w:t>
      </w:r>
      <w:r w:rsidR="00D87570">
        <w:t xml:space="preserve">. </w:t>
      </w:r>
      <w:r w:rsidR="00DC68EA">
        <w:t>Pou</w:t>
      </w:r>
      <w:r w:rsidR="00856E3C">
        <w:t>ze v roce 2011</w:t>
      </w:r>
      <w:r w:rsidR="000D5C99">
        <w:t xml:space="preserve"> hospodařilo město s</w:t>
      </w:r>
      <w:r w:rsidR="00DC68EA">
        <w:t> </w:t>
      </w:r>
      <w:r w:rsidR="000D5C99">
        <w:t>přebytkem</w:t>
      </w:r>
      <w:r w:rsidR="00DC68EA">
        <w:t xml:space="preserve"> (</w:t>
      </w:r>
      <w:r w:rsidR="00856E3C">
        <w:t>35,4</w:t>
      </w:r>
      <w:r w:rsidR="00DC68EA">
        <w:t xml:space="preserve"> mil. Kč)</w:t>
      </w:r>
      <w:r w:rsidR="000D5C99">
        <w:t>, v ostatních analyzovaných letech vykazovalo deficitní hospodaření</w:t>
      </w:r>
      <w:r w:rsidR="00856E3C">
        <w:t xml:space="preserve"> v rozmezí </w:t>
      </w:r>
      <w:r w:rsidR="000556A3">
        <w:t>36,0 - 89,6 mil. Kč (2008, resp. 2012). V roce 2010 byl deficit z důvodů mim</w:t>
      </w:r>
      <w:r w:rsidR="000556A3">
        <w:t>o</w:t>
      </w:r>
      <w:r w:rsidR="000556A3">
        <w:t>řádných kapitálových výdajů 1</w:t>
      </w:r>
      <w:r w:rsidR="00B6444B">
        <w:t xml:space="preserve"> </w:t>
      </w:r>
      <w:r w:rsidR="000556A3">
        <w:t>496,4 mil. Kč</w:t>
      </w:r>
      <w:r w:rsidR="000D5C99">
        <w:t>.</w:t>
      </w:r>
      <w:r w:rsidR="00D87570">
        <w:t xml:space="preserve"> </w:t>
      </w:r>
      <w:r w:rsidR="00566660">
        <w:t>Vývoj bilance hospodaření zobrazuje následující tabulka.</w:t>
      </w:r>
    </w:p>
    <w:p w:rsidR="003263C3" w:rsidRPr="00762B7A" w:rsidRDefault="003263C3" w:rsidP="00B6444B">
      <w:pPr>
        <w:pStyle w:val="Titulek"/>
        <w:spacing w:before="120" w:after="120"/>
      </w:pPr>
      <w:bookmarkStart w:id="14" w:name="_Toc354550545"/>
      <w:bookmarkStart w:id="15" w:name="_Toc374432395"/>
      <w:r w:rsidRPr="00762B7A">
        <w:t>Tabulka</w:t>
      </w:r>
      <w:r w:rsidR="007442DE" w:rsidRPr="00762B7A">
        <w:t xml:space="preserve"> č.</w:t>
      </w:r>
      <w:r w:rsidRPr="00762B7A">
        <w:t xml:space="preserve"> </w:t>
      </w:r>
      <w:r w:rsidR="00902CF0" w:rsidRPr="00762B7A">
        <w:fldChar w:fldCharType="begin"/>
      </w:r>
      <w:r w:rsidRPr="00762B7A">
        <w:instrText xml:space="preserve"> SEQ Tabulka \* ARABIC </w:instrText>
      </w:r>
      <w:r w:rsidR="00902CF0" w:rsidRPr="00762B7A">
        <w:fldChar w:fldCharType="separate"/>
      </w:r>
      <w:r w:rsidR="0087113F" w:rsidRPr="00762B7A">
        <w:t>1</w:t>
      </w:r>
      <w:r w:rsidR="00902CF0" w:rsidRPr="00762B7A">
        <w:fldChar w:fldCharType="end"/>
      </w:r>
      <w:r w:rsidRPr="00762B7A">
        <w:t xml:space="preserve">: </w:t>
      </w:r>
      <w:r w:rsidR="009B4507" w:rsidRPr="00762B7A">
        <w:tab/>
      </w:r>
      <w:r w:rsidRPr="00762B7A">
        <w:t>Vývoj hospodaření města</w:t>
      </w:r>
      <w:bookmarkEnd w:id="14"/>
      <w:bookmarkEnd w:id="15"/>
    </w:p>
    <w:p w:rsidR="00A20550" w:rsidRPr="00A20550" w:rsidRDefault="00B6444B" w:rsidP="00A20550">
      <w:pPr>
        <w:jc w:val="center"/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624205</wp:posOffset>
            </wp:positionH>
            <wp:positionV relativeFrom="paragraph">
              <wp:posOffset>29845</wp:posOffset>
            </wp:positionV>
            <wp:extent cx="4324350" cy="6419850"/>
            <wp:effectExtent l="19050" t="0" r="0" b="0"/>
            <wp:wrapNone/>
            <wp:docPr id="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641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3589" w:rsidRDefault="00833589" w:rsidP="00F274C2">
      <w:pPr>
        <w:jc w:val="center"/>
        <w:rPr>
          <w:highlight w:val="yellow"/>
        </w:rPr>
      </w:pPr>
    </w:p>
    <w:p w:rsidR="00F274C2" w:rsidRDefault="00F274C2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497441" w:rsidRDefault="00497441" w:rsidP="00803120"/>
    <w:p w:rsidR="00F274C2" w:rsidRDefault="00F274C2">
      <w:pPr>
        <w:spacing w:line="240" w:lineRule="auto"/>
        <w:jc w:val="left"/>
      </w:pPr>
      <w:r>
        <w:br w:type="page"/>
      </w:r>
    </w:p>
    <w:p w:rsidR="005E5B98" w:rsidRDefault="003E314C" w:rsidP="003E314C">
      <w:r>
        <w:t xml:space="preserve">SML mělo po celé sledované období </w:t>
      </w:r>
      <w:r w:rsidR="007F5EB7">
        <w:t>obdobnou</w:t>
      </w:r>
      <w:r>
        <w:t xml:space="preserve"> skladbu příjmů. Co do objemu nejvýznamnější roli v hospodaření města hrály příjmy daňové. </w:t>
      </w:r>
      <w:r w:rsidR="007F5EB7">
        <w:t>Vývoj podílu daňových příjmů na běžných příjmech je značně ovlivněn specifickými změnami rozpočtu, které mají jednorázový i dlouhodobý charakter.</w:t>
      </w:r>
      <w:r w:rsidR="007F5EB7" w:rsidRPr="007306E0">
        <w:t xml:space="preserve"> </w:t>
      </w:r>
      <w:r w:rsidRPr="007306E0">
        <w:t xml:space="preserve">Podíl daňových příjmů se v rámci sledovaného období vyznačuje </w:t>
      </w:r>
      <w:r>
        <w:t>spíše klesajícím</w:t>
      </w:r>
      <w:r w:rsidRPr="007306E0">
        <w:t xml:space="preserve"> směrem vývoje</w:t>
      </w:r>
      <w:r>
        <w:t>, a to</w:t>
      </w:r>
      <w:r w:rsidRPr="007306E0">
        <w:t xml:space="preserve"> jak v</w:t>
      </w:r>
      <w:r>
        <w:t> </w:t>
      </w:r>
      <w:r w:rsidRPr="007306E0">
        <w:t>absolutním</w:t>
      </w:r>
      <w:r>
        <w:t>,</w:t>
      </w:r>
      <w:r w:rsidRPr="007306E0">
        <w:t xml:space="preserve"> tak v relativním vyjádření.</w:t>
      </w:r>
      <w:r>
        <w:t xml:space="preserve"> Podíl daňo</w:t>
      </w:r>
      <w:r w:rsidR="008C3B40">
        <w:t>vých příjmů na běžných příjmech</w:t>
      </w:r>
      <w:r w:rsidR="00FB3D20">
        <w:t xml:space="preserve"> </w:t>
      </w:r>
      <w:r w:rsidR="008C3B40">
        <w:t>meziročně klesal ze</w:t>
      </w:r>
      <w:r>
        <w:t xml:space="preserve"> 71,1 % (2008)</w:t>
      </w:r>
      <w:r w:rsidR="00FB3D20">
        <w:t xml:space="preserve"> </w:t>
      </w:r>
      <w:r w:rsidR="008C3B40">
        <w:t>na</w:t>
      </w:r>
      <w:r w:rsidR="00FB3D20">
        <w:t xml:space="preserve"> 49,9 % (2011),</w:t>
      </w:r>
      <w:r>
        <w:t xml:space="preserve"> v roce 2012 podíl </w:t>
      </w:r>
      <w:r w:rsidR="00FB3D20">
        <w:t xml:space="preserve">vzrostl </w:t>
      </w:r>
      <w:r>
        <w:t>na své maximu</w:t>
      </w:r>
      <w:r w:rsidR="00FB3D20">
        <w:t>m</w:t>
      </w:r>
      <w:r>
        <w:t xml:space="preserve"> 79,7 %, a to z důvodů nižšího objemu přijatých neinvestičních transferů (ukončení výplat sociálních dávek)</w:t>
      </w:r>
      <w:r w:rsidR="00FB3D20">
        <w:t xml:space="preserve"> a také díky vyššímu výnosu daně z nemovitostí a o</w:t>
      </w:r>
      <w:r w:rsidR="00FB3D20" w:rsidRPr="001F22BC">
        <w:t>dvod</w:t>
      </w:r>
      <w:r w:rsidR="00FB3D20">
        <w:t>ům</w:t>
      </w:r>
      <w:r w:rsidR="00FB3D20" w:rsidRPr="001F22BC">
        <w:t xml:space="preserve"> z výherních hracích přístrojů</w:t>
      </w:r>
      <w:r w:rsidR="00FB3D20">
        <w:t>.</w:t>
      </w:r>
      <w:r w:rsidR="007F5EB7">
        <w:t xml:space="preserve"> </w:t>
      </w:r>
      <w:r>
        <w:t xml:space="preserve">V průměru za celé sledované období dosahuje podíl daňových příjmů </w:t>
      </w:r>
      <w:r w:rsidR="00FB3D20">
        <w:t>64,5</w:t>
      </w:r>
      <w:r>
        <w:t xml:space="preserve"> % příjmů běžných. </w:t>
      </w:r>
    </w:p>
    <w:p w:rsidR="005E5B98" w:rsidRDefault="005E5B98" w:rsidP="003E314C"/>
    <w:p w:rsidR="003E314C" w:rsidRDefault="00FB3D20" w:rsidP="003E314C">
      <w:r>
        <w:t>P</w:t>
      </w:r>
      <w:r w:rsidR="003E314C">
        <w:t xml:space="preserve">odíl daňových příjmů na celkových příjmech je v jednotlivých letech </w:t>
      </w:r>
      <w:r w:rsidR="008C3B40">
        <w:t>odvislý</w:t>
      </w:r>
      <w:r w:rsidR="003E314C">
        <w:t xml:space="preserve"> </w:t>
      </w:r>
      <w:r w:rsidR="007F5EB7">
        <w:t xml:space="preserve">jednak </w:t>
      </w:r>
      <w:r w:rsidR="008C3B40">
        <w:t>od specifických změn rozpočtu v jednotlivých letech, ale také od</w:t>
      </w:r>
      <w:r w:rsidR="003E314C">
        <w:t xml:space="preserve"> investiční ak</w:t>
      </w:r>
      <w:r w:rsidR="008C3B40">
        <w:t>tivity</w:t>
      </w:r>
      <w:r w:rsidR="003E314C">
        <w:t xml:space="preserve"> a s</w:t>
      </w:r>
      <w:r w:rsidR="008C3B40">
        <w:t> </w:t>
      </w:r>
      <w:r w:rsidR="003E314C">
        <w:t>tím</w:t>
      </w:r>
      <w:r w:rsidR="008C3B40">
        <w:t xml:space="preserve"> do jisté míry</w:t>
      </w:r>
      <w:r w:rsidR="003E314C">
        <w:t xml:space="preserve"> souvisejícího objemu obdržených investičních transferů. </w:t>
      </w:r>
      <w:r w:rsidR="007F5EB7">
        <w:t xml:space="preserve">Podíl na celkových příjmech </w:t>
      </w:r>
      <w:r w:rsidR="003E314C">
        <w:t>se</w:t>
      </w:r>
      <w:r w:rsidR="008C3B40">
        <w:t xml:space="preserve"> </w:t>
      </w:r>
      <w:r w:rsidR="003E314C">
        <w:t>pohybuje mezi 4</w:t>
      </w:r>
      <w:r w:rsidR="008C3B40">
        <w:t>7,5</w:t>
      </w:r>
      <w:r w:rsidR="003E314C">
        <w:t xml:space="preserve"> % (201</w:t>
      </w:r>
      <w:r w:rsidR="008C3B40">
        <w:t>1</w:t>
      </w:r>
      <w:r w:rsidR="003E314C">
        <w:t xml:space="preserve">) – </w:t>
      </w:r>
      <w:r w:rsidR="008C3B40">
        <w:t>74,7</w:t>
      </w:r>
      <w:r w:rsidR="003E314C">
        <w:t xml:space="preserve"> % (20</w:t>
      </w:r>
      <w:r w:rsidR="008C3B40">
        <w:t>12</w:t>
      </w:r>
      <w:r w:rsidR="003E314C">
        <w:t xml:space="preserve">). V průměru za celé sledované období dosahuje podíl daňových příjmů </w:t>
      </w:r>
      <w:r w:rsidR="008C3B40">
        <w:t>57,1</w:t>
      </w:r>
      <w:r w:rsidR="003E314C">
        <w:t xml:space="preserve"> % příjmů celkových. </w:t>
      </w:r>
    </w:p>
    <w:p w:rsidR="003E314C" w:rsidRPr="00274D7A" w:rsidRDefault="003E314C" w:rsidP="003E314C"/>
    <w:p w:rsidR="003E314C" w:rsidRDefault="003E314C" w:rsidP="003E314C">
      <w:r w:rsidRPr="00E16299">
        <w:t xml:space="preserve">Na výši daňových příjmů se významně podepsal rok 2009, kdy se projevil vliv celosvětové finanční krize. V tomto roce došlo k meziročnímu poklesu daňových příjmů o </w:t>
      </w:r>
      <w:r w:rsidR="004458AC">
        <w:t>177,1</w:t>
      </w:r>
      <w:r w:rsidRPr="00E16299">
        <w:t xml:space="preserve"> mil. Kč, tj. 1</w:t>
      </w:r>
      <w:r w:rsidR="004458AC">
        <w:t>3,4</w:t>
      </w:r>
      <w:r w:rsidRPr="00E16299">
        <w:t xml:space="preserve"> %. Objemu daňových příjmů v hodnotách roku 2008 </w:t>
      </w:r>
      <w:r w:rsidR="004458AC">
        <w:t>však SML</w:t>
      </w:r>
      <w:r w:rsidRPr="00E16299">
        <w:t xml:space="preserve"> </w:t>
      </w:r>
      <w:r w:rsidR="004458AC">
        <w:t>ne</w:t>
      </w:r>
      <w:r w:rsidRPr="00E16299">
        <w:t>dosáhn</w:t>
      </w:r>
      <w:r w:rsidR="004458AC">
        <w:t>e ani</w:t>
      </w:r>
      <w:r w:rsidRPr="00E16299">
        <w:t xml:space="preserve"> v rozpočtu na rok 2013</w:t>
      </w:r>
      <w:r w:rsidR="004458AC">
        <w:t xml:space="preserve"> (podle tohoto rozpočtového výhledu by se tak mohlo stát dokonce až v roce 2018)</w:t>
      </w:r>
      <w:r w:rsidRPr="00E16299">
        <w:t xml:space="preserve">. Kromě primární skupiny sdílených daní má od roku 2012 na podíl daňových příjmů </w:t>
      </w:r>
      <w:r w:rsidR="00C13D85">
        <w:t xml:space="preserve">významný </w:t>
      </w:r>
      <w:r w:rsidRPr="00E16299">
        <w:t>vliv účin</w:t>
      </w:r>
      <w:r w:rsidR="00C13D85">
        <w:t>nost</w:t>
      </w:r>
      <w:r w:rsidRPr="00E16299">
        <w:t xml:space="preserve"> novely loterijního zákona č. 202/1990 Sb., na jejímž základě stát nově vybírá poplatek za povolený přístroj a vybrané peníze obcím přerozděluje (v případě </w:t>
      </w:r>
      <w:r w:rsidR="004458AC">
        <w:t>SML</w:t>
      </w:r>
      <w:r w:rsidRPr="00E16299">
        <w:t xml:space="preserve"> se za rok 2012 jednalo o </w:t>
      </w:r>
      <w:r w:rsidR="004458AC">
        <w:t>4</w:t>
      </w:r>
      <w:r w:rsidRPr="00E16299">
        <w:t>5,</w:t>
      </w:r>
      <w:r w:rsidR="004458AC">
        <w:t>7</w:t>
      </w:r>
      <w:r w:rsidRPr="00E16299">
        <w:t xml:space="preserve"> mil. Kč na položce „Odvod z výherních hracích přístrojů“ - položka 1355).</w:t>
      </w:r>
      <w:r w:rsidR="00C13D85">
        <w:t xml:space="preserve"> Ve stejném roce byly</w:t>
      </w:r>
      <w:r w:rsidR="004458AC">
        <w:t xml:space="preserve"> též</w:t>
      </w:r>
      <w:r w:rsidR="00C13D85">
        <w:t xml:space="preserve"> provedeny změny v oblasti daně z nemovitostí (zavedení místního koeficientu a změna obecně závazné vyhlášky), které příjem z této daně více jak zdvojnásobily.</w:t>
      </w:r>
    </w:p>
    <w:p w:rsidR="004F46F4" w:rsidRPr="00DF30AF" w:rsidRDefault="004F46F4" w:rsidP="004F46F4">
      <w:pPr>
        <w:pStyle w:val="graf"/>
      </w:pPr>
      <w:bookmarkStart w:id="16" w:name="_Toc374432380"/>
      <w:r w:rsidRPr="00DF30AF">
        <w:t>Vývoj sdílených daní</w:t>
      </w:r>
      <w:bookmarkEnd w:id="16"/>
    </w:p>
    <w:p w:rsidR="004F46F4" w:rsidRDefault="004F46F4" w:rsidP="004F46F4">
      <w:pPr>
        <w:jc w:val="center"/>
      </w:pPr>
      <w:r w:rsidRPr="00DF30AF">
        <w:rPr>
          <w:noProof/>
        </w:rPr>
        <w:drawing>
          <wp:inline distT="0" distB="0" distL="0" distR="0">
            <wp:extent cx="5760720" cy="2708554"/>
            <wp:effectExtent l="19050" t="0" r="0" b="0"/>
            <wp:docPr id="31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08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6F4" w:rsidRDefault="004F46F4" w:rsidP="004F46F4"/>
    <w:p w:rsidR="00AA4811" w:rsidRDefault="00AA4811">
      <w:pPr>
        <w:spacing w:line="240" w:lineRule="auto"/>
        <w:jc w:val="left"/>
      </w:pPr>
      <w:r>
        <w:br w:type="page"/>
      </w:r>
    </w:p>
    <w:p w:rsidR="004F46F4" w:rsidRPr="000F1ACA" w:rsidRDefault="004F46F4" w:rsidP="004F46F4">
      <w:r w:rsidRPr="007804B8">
        <w:t>V</w:t>
      </w:r>
      <w:r w:rsidR="00AA4811">
        <w:t>e třídě</w:t>
      </w:r>
      <w:r>
        <w:t xml:space="preserve"> daňových </w:t>
      </w:r>
      <w:r w:rsidRPr="007804B8">
        <w:t>příjm</w:t>
      </w:r>
      <w:r>
        <w:t>ů</w:t>
      </w:r>
      <w:r w:rsidRPr="007804B8">
        <w:t xml:space="preserve"> jsou nejdůležitější skupinou sdílené daně. I v plnění sdílených daní je pat</w:t>
      </w:r>
      <w:r w:rsidRPr="007804B8">
        <w:t>r</w:t>
      </w:r>
      <w:r w:rsidRPr="007804B8">
        <w:t xml:space="preserve">ný dopad finanční krize v roce 2009, kdy příjem meziročně poklesl o </w:t>
      </w:r>
      <w:r>
        <w:t>149,7</w:t>
      </w:r>
      <w:r w:rsidRPr="007804B8">
        <w:t xml:space="preserve"> mil. Kč, tj. o 1</w:t>
      </w:r>
      <w:r>
        <w:t>4</w:t>
      </w:r>
      <w:r w:rsidRPr="007804B8">
        <w:t>,</w:t>
      </w:r>
      <w:r>
        <w:t>2</w:t>
      </w:r>
      <w:r w:rsidRPr="007804B8">
        <w:t xml:space="preserve"> % celkového ročního objemu těchto daní v roce 2008. V upraveném rozpočtu roku 2013 se na výši sd</w:t>
      </w:r>
      <w:r w:rsidRPr="007804B8">
        <w:t>í</w:t>
      </w:r>
      <w:r w:rsidRPr="007804B8">
        <w:t xml:space="preserve">lených daní </w:t>
      </w:r>
      <w:r w:rsidR="00AA4811">
        <w:t xml:space="preserve">nijak výrazně neprojevila </w:t>
      </w:r>
      <w:r w:rsidRPr="007804B8">
        <w:t xml:space="preserve">novela zákona č. 243/2000 Sb., o rozpočtovém určení daní, která posílila procentní podíl měst a obcí na celostátním výnosu sdílených daní. </w:t>
      </w:r>
      <w:r w:rsidR="00AA4811">
        <w:t>Statutární město Liberec</w:t>
      </w:r>
      <w:r w:rsidRPr="007804B8">
        <w:t xml:space="preserve"> tak může počítat s nárůstem daňových příjmů o </w:t>
      </w:r>
      <w:r w:rsidR="00AA4811">
        <w:t>33,9</w:t>
      </w:r>
      <w:r w:rsidRPr="007804B8">
        <w:t xml:space="preserve"> mil. Kč (tj. o </w:t>
      </w:r>
      <w:r w:rsidR="00AA4811">
        <w:t>3,6</w:t>
      </w:r>
      <w:r w:rsidRPr="007804B8">
        <w:t xml:space="preserve"> %). Ovšem ani tento objem nedosahuje výnosu sdílených daní, kterého město dosáhlo v roce 2008.</w:t>
      </w:r>
    </w:p>
    <w:p w:rsidR="00690594" w:rsidRPr="00762B7A" w:rsidRDefault="00245713" w:rsidP="00F274C2">
      <w:pPr>
        <w:pStyle w:val="graf"/>
      </w:pPr>
      <w:bookmarkStart w:id="17" w:name="_Toc374432381"/>
      <w:r w:rsidRPr="00762B7A">
        <w:t>Vývoj příjmů, výdajů a salda hospodaření</w:t>
      </w:r>
      <w:bookmarkEnd w:id="17"/>
    </w:p>
    <w:p w:rsidR="00CE434B" w:rsidRDefault="00762B7A" w:rsidP="00762B7A">
      <w:pPr>
        <w:jc w:val="center"/>
      </w:pPr>
      <w:r w:rsidRPr="00762B7A">
        <w:rPr>
          <w:noProof/>
        </w:rPr>
        <w:drawing>
          <wp:inline distT="0" distB="0" distL="0" distR="0">
            <wp:extent cx="5760720" cy="2708554"/>
            <wp:effectExtent l="19050" t="0" r="0" b="0"/>
            <wp:docPr id="9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08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523" w:rsidRDefault="00B31523" w:rsidP="00A929F2"/>
    <w:p w:rsidR="000447CB" w:rsidRDefault="00A929F2" w:rsidP="00A929F2">
      <w:r>
        <w:t xml:space="preserve">Na celkovém objemu příjmů se velmi významným způsobem podílely také přijaté dotace (transfery). V neinvestiční části byly nejvýznamnější dotace pokrývající výkon státní správy a do roku 2012 pak zejména ostatní transfery ze státního rozpočtu (průměrný </w:t>
      </w:r>
      <w:r w:rsidR="000447CB">
        <w:t xml:space="preserve">roční </w:t>
      </w:r>
      <w:r>
        <w:t xml:space="preserve">objem těchto transferů představuje 91,5 mil. Kč, resp. 315,7 mil. Kč), ovšem po změně výplatních míst sociálních dávek </w:t>
      </w:r>
      <w:r w:rsidR="000447CB">
        <w:t>od roku</w:t>
      </w:r>
      <w:r>
        <w:t xml:space="preserve"> 2012 objem ostatních transferů významně poklesl. Po celé sledované období jsou tyto dotace doplněny </w:t>
      </w:r>
      <w:r w:rsidR="000447CB">
        <w:t xml:space="preserve">dalšími transfery z veřejných rozpočtů a </w:t>
      </w:r>
      <w:r>
        <w:t>neméně významnými převody z vlastních fondů</w:t>
      </w:r>
      <w:r w:rsidR="000447CB">
        <w:t>, které pře</w:t>
      </w:r>
      <w:r w:rsidR="000447CB">
        <w:t>d</w:t>
      </w:r>
      <w:r w:rsidR="000447CB">
        <w:t>stavují především</w:t>
      </w:r>
      <w:r>
        <w:t xml:space="preserve"> výsledek hospodářské činnosti, a to v rozmezí od </w:t>
      </w:r>
      <w:r w:rsidR="000447CB">
        <w:t>6,8</w:t>
      </w:r>
      <w:r>
        <w:t xml:space="preserve"> mil. Kč (2008) do </w:t>
      </w:r>
      <w:r w:rsidR="000447CB">
        <w:t>114,9</w:t>
      </w:r>
      <w:r>
        <w:t xml:space="preserve"> mil. Kč (201</w:t>
      </w:r>
      <w:r w:rsidR="000447CB">
        <w:t>0</w:t>
      </w:r>
      <w:r>
        <w:t xml:space="preserve">). </w:t>
      </w:r>
    </w:p>
    <w:p w:rsidR="000447CB" w:rsidRDefault="000447CB" w:rsidP="00A929F2"/>
    <w:p w:rsidR="00A929F2" w:rsidRDefault="00A929F2" w:rsidP="00A929F2">
      <w:r>
        <w:t xml:space="preserve">Zbývající část dotací tvoří dotace investiční, které mají ve sledovaném období </w:t>
      </w:r>
      <w:r w:rsidR="000447CB">
        <w:t>nepravidelný objem, zejména v závislosti na investiční aktivitě SML.</w:t>
      </w:r>
      <w:r>
        <w:t xml:space="preserve"> Město získalo nejvíce investičních dotací v roce 20</w:t>
      </w:r>
      <w:r w:rsidR="00B31523">
        <w:t>08</w:t>
      </w:r>
      <w:r>
        <w:t xml:space="preserve"> (</w:t>
      </w:r>
      <w:r w:rsidR="00B31523">
        <w:t>508,2</w:t>
      </w:r>
      <w:r>
        <w:t xml:space="preserve"> mil. Kč), </w:t>
      </w:r>
      <w:r w:rsidR="00B31523">
        <w:t xml:space="preserve">kdy </w:t>
      </w:r>
      <w:r>
        <w:t>pro</w:t>
      </w:r>
      <w:r w:rsidR="00B31523">
        <w:t>investovalo</w:t>
      </w:r>
      <w:r>
        <w:t xml:space="preserve"> 1</w:t>
      </w:r>
      <w:r w:rsidR="00B31523">
        <w:t> 009,7</w:t>
      </w:r>
      <w:r>
        <w:t xml:space="preserve"> mil. Kč (tj. investiční transfery kryly 5</w:t>
      </w:r>
      <w:r w:rsidR="00B31523">
        <w:t>0,3</w:t>
      </w:r>
      <w:r>
        <w:t xml:space="preserve"> % celkových investičních výdajů). </w:t>
      </w:r>
      <w:r w:rsidR="00B31523">
        <w:t>Celkem z</w:t>
      </w:r>
      <w:r>
        <w:t xml:space="preserve">a období 2008 – 2012 je investiční aktivita města vyjádřena částkou </w:t>
      </w:r>
      <w:r w:rsidR="00B31523">
        <w:t>3 927,2</w:t>
      </w:r>
      <w:r>
        <w:t xml:space="preserve"> mil. Kč, z toho </w:t>
      </w:r>
      <w:r w:rsidR="00B31523">
        <w:t>909,1</w:t>
      </w:r>
      <w:r>
        <w:t xml:space="preserve"> mil. </w:t>
      </w:r>
      <w:r w:rsidR="00B31523">
        <w:t xml:space="preserve">Kč </w:t>
      </w:r>
      <w:r>
        <w:t>bylo hrazeno z dotací (tj. 2</w:t>
      </w:r>
      <w:r w:rsidR="00B31523">
        <w:t>3,1</w:t>
      </w:r>
      <w:r>
        <w:t xml:space="preserve"> %). </w:t>
      </w:r>
    </w:p>
    <w:p w:rsidR="00AA4811" w:rsidRDefault="00AA4811">
      <w:pPr>
        <w:spacing w:line="240" w:lineRule="auto"/>
        <w:jc w:val="left"/>
        <w:rPr>
          <w:rFonts w:eastAsiaTheme="minorHAnsi" w:cstheme="minorBidi"/>
          <w:b/>
          <w:szCs w:val="22"/>
          <w:lang w:eastAsia="en-US"/>
        </w:rPr>
      </w:pPr>
      <w:r>
        <w:br w:type="page"/>
      </w:r>
    </w:p>
    <w:p w:rsidR="00422C36" w:rsidRPr="00762B7A" w:rsidRDefault="00245713" w:rsidP="00AA4811">
      <w:pPr>
        <w:pStyle w:val="graf"/>
        <w:spacing w:before="0" w:after="160"/>
      </w:pPr>
      <w:bookmarkStart w:id="18" w:name="_Toc374432382"/>
      <w:r w:rsidRPr="00762B7A">
        <w:t>Vývoj příjmů</w:t>
      </w:r>
      <w:bookmarkEnd w:id="18"/>
    </w:p>
    <w:p w:rsidR="00245713" w:rsidRDefault="00245713" w:rsidP="00245713">
      <w:pPr>
        <w:tabs>
          <w:tab w:val="left" w:pos="4536"/>
        </w:tabs>
      </w:pPr>
      <w:r>
        <w:t xml:space="preserve">Struktura příjmů </w:t>
      </w:r>
      <w:r w:rsidR="00AA2301">
        <w:t>(</w:t>
      </w:r>
      <w:r>
        <w:t>v %</w:t>
      </w:r>
      <w:r w:rsidR="00AA2301">
        <w:t>)</w:t>
      </w:r>
      <w:r>
        <w:tab/>
        <w:t xml:space="preserve">Struktura příjmů </w:t>
      </w:r>
      <w:r w:rsidR="00AA2301">
        <w:t>(</w:t>
      </w:r>
      <w:r>
        <w:t>v absolutních hodnotách</w:t>
      </w:r>
      <w:r w:rsidR="00AA2301">
        <w:t>)</w:t>
      </w:r>
    </w:p>
    <w:p w:rsidR="00422C36" w:rsidRDefault="00762B7A" w:rsidP="00CE434B">
      <w:r w:rsidRPr="00762B7A">
        <w:rPr>
          <w:noProof/>
        </w:rPr>
        <w:drawing>
          <wp:inline distT="0" distB="0" distL="0" distR="0">
            <wp:extent cx="2773898" cy="2187397"/>
            <wp:effectExtent l="19050" t="0" r="7402" b="0"/>
            <wp:docPr id="12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062" cy="2189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25C9" w:rsidRPr="000F25C9">
        <w:t xml:space="preserve"> </w:t>
      </w:r>
      <w:r w:rsidRPr="00762B7A">
        <w:rPr>
          <w:noProof/>
        </w:rPr>
        <w:drawing>
          <wp:inline distT="0" distB="0" distL="0" distR="0">
            <wp:extent cx="2774447" cy="2187829"/>
            <wp:effectExtent l="19050" t="0" r="6853" b="0"/>
            <wp:docPr id="13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418" cy="2187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C36" w:rsidRPr="00AA4811" w:rsidRDefault="00422C36" w:rsidP="00CE434B">
      <w:pPr>
        <w:rPr>
          <w:sz w:val="16"/>
          <w:szCs w:val="16"/>
        </w:rPr>
      </w:pPr>
    </w:p>
    <w:p w:rsidR="00B31523" w:rsidRDefault="00B31523" w:rsidP="00B31523">
      <w:r w:rsidRPr="0003715B">
        <w:t>V rámci posouzení hospodaření</w:t>
      </w:r>
      <w:r>
        <w:t xml:space="preserve"> v minulosti je důležité zaměřit se na plnění a vývoj běžných (provo</w:t>
      </w:r>
      <w:r>
        <w:t>z</w:t>
      </w:r>
      <w:r>
        <w:t>ních) příjmů a výdajů. Obecně platí, že běžn</w:t>
      </w:r>
      <w:r w:rsidR="00EB1CBB">
        <w:t>é</w:t>
      </w:r>
      <w:r>
        <w:t xml:space="preserve"> p</w:t>
      </w:r>
      <w:r w:rsidR="00EB1CBB">
        <w:t>říjmy</w:t>
      </w:r>
      <w:r>
        <w:t xml:space="preserve"> by měl</w:t>
      </w:r>
      <w:r w:rsidR="00BC3A85">
        <w:t>y</w:t>
      </w:r>
      <w:r>
        <w:t xml:space="preserve"> být vyšší než běžn</w:t>
      </w:r>
      <w:r w:rsidR="00EB1CBB">
        <w:t>é výdaje</w:t>
      </w:r>
      <w:r>
        <w:t xml:space="preserve">. V období let 2008 – 2012 byl součet provozních příjmů </w:t>
      </w:r>
      <w:r w:rsidR="00EB1CBB">
        <w:t>9 213,8</w:t>
      </w:r>
      <w:r>
        <w:t xml:space="preserve"> mil. Kč, zatímco ve stejném období město utratilo na provozních výdajích </w:t>
      </w:r>
      <w:r w:rsidR="00EB1CBB">
        <w:t>8 161,0</w:t>
      </w:r>
      <w:r>
        <w:t xml:space="preserve"> mil. Kč, přičemž v každém roce bylo dosaženo provozního přebytku. Jedna z</w:t>
      </w:r>
      <w:r w:rsidR="00EB1CBB">
        <w:t>e z</w:t>
      </w:r>
      <w:r w:rsidR="00474275">
        <w:t>á</w:t>
      </w:r>
      <w:r w:rsidR="00EB1CBB">
        <w:t>kladních</w:t>
      </w:r>
      <w:r>
        <w:t xml:space="preserve"> podmínek udržitelného hospodaření byla splněna. </w:t>
      </w:r>
    </w:p>
    <w:p w:rsidR="002D54C1" w:rsidRPr="00762B7A" w:rsidRDefault="00A97451" w:rsidP="00AA4811">
      <w:pPr>
        <w:pStyle w:val="graf"/>
        <w:spacing w:before="200" w:after="160"/>
      </w:pPr>
      <w:bookmarkStart w:id="19" w:name="_Toc374432383"/>
      <w:r w:rsidRPr="00762B7A">
        <w:t>Vývoj výdajů</w:t>
      </w:r>
      <w:bookmarkEnd w:id="19"/>
    </w:p>
    <w:p w:rsidR="002D54C1" w:rsidRPr="000F25C9" w:rsidRDefault="00A97451" w:rsidP="00A97451">
      <w:pPr>
        <w:tabs>
          <w:tab w:val="left" w:pos="4536"/>
        </w:tabs>
      </w:pPr>
      <w:r w:rsidRPr="000F25C9">
        <w:t>Struktura výdajů (v %)</w:t>
      </w:r>
      <w:r w:rsidRPr="000F25C9">
        <w:tab/>
        <w:t>Struktura výdajů (v absolutních hodnotách)</w:t>
      </w:r>
    </w:p>
    <w:p w:rsidR="002D54C1" w:rsidRDefault="000F25C9" w:rsidP="00803120">
      <w:pPr>
        <w:rPr>
          <w:highlight w:val="yellow"/>
        </w:rPr>
      </w:pPr>
      <w:r w:rsidRPr="000F25C9">
        <w:t xml:space="preserve"> </w:t>
      </w:r>
      <w:r w:rsidR="00762B7A" w:rsidRPr="00762B7A">
        <w:rPr>
          <w:noProof/>
        </w:rPr>
        <w:drawing>
          <wp:inline distT="0" distB="0" distL="0" distR="0">
            <wp:extent cx="2810016" cy="2215877"/>
            <wp:effectExtent l="19050" t="0" r="9384" b="0"/>
            <wp:docPr id="16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987" cy="2215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B7A" w:rsidRPr="00762B7A">
        <w:rPr>
          <w:noProof/>
        </w:rPr>
        <w:drawing>
          <wp:inline distT="0" distB="0" distL="0" distR="0">
            <wp:extent cx="2808021" cy="2214303"/>
            <wp:effectExtent l="19050" t="0" r="0" b="0"/>
            <wp:docPr id="14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973" cy="2215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DB8" w:rsidRPr="00821DB8" w:rsidRDefault="001D5DB8" w:rsidP="00803120">
      <w:pPr>
        <w:rPr>
          <w:sz w:val="15"/>
          <w:szCs w:val="15"/>
          <w:highlight w:val="yellow"/>
        </w:rPr>
      </w:pPr>
    </w:p>
    <w:p w:rsidR="00EB1CBB" w:rsidRDefault="00D44A3F" w:rsidP="00EB1CBB">
      <w:r>
        <w:t>Aby byl přebytek provozního rozpočtu dlouhodobě udržitelný, pak je potřeba posoudit změny pr</w:t>
      </w:r>
      <w:r>
        <w:t>o</w:t>
      </w:r>
      <w:r>
        <w:t>vozních příjmů a výdajů. Proto</w:t>
      </w:r>
      <w:r w:rsidR="00474275">
        <w:t xml:space="preserve"> nárůst běžných příjmů by měl být vyšší než nárůst běžných výdajů</w:t>
      </w:r>
      <w:r>
        <w:t>, resp. pokles běžných příjmů by měl být menší než pokles běžných výdajů</w:t>
      </w:r>
      <w:r w:rsidR="00474275">
        <w:t xml:space="preserve">. </w:t>
      </w:r>
      <w:r w:rsidR="00EB1CBB">
        <w:t xml:space="preserve">Pokles objemu provozních příjmů od roku 2008 do roku 2012 byl </w:t>
      </w:r>
      <w:r>
        <w:t>335,0</w:t>
      </w:r>
      <w:r w:rsidR="00EB1CBB">
        <w:t xml:space="preserve"> mil. Kč, zatímco provozní výdaje ve stejném období poklesly o </w:t>
      </w:r>
      <w:r>
        <w:t>293,8</w:t>
      </w:r>
      <w:r w:rsidR="00EB1CBB">
        <w:t xml:space="preserve"> mil. Kč. To znamená, že z tohoto pohledu </w:t>
      </w:r>
      <w:r w:rsidR="00EB1CBB" w:rsidRPr="00191A87">
        <w:t xml:space="preserve">má hospodaření města </w:t>
      </w:r>
      <w:r w:rsidR="00EB1CBB">
        <w:t>spíše s</w:t>
      </w:r>
      <w:r w:rsidR="00BC3A85">
        <w:t>es</w:t>
      </w:r>
      <w:r w:rsidR="00EB1CBB">
        <w:t>tupnou</w:t>
      </w:r>
      <w:r w:rsidR="00EB1CBB" w:rsidRPr="00191A87">
        <w:t xml:space="preserve"> tendenci</w:t>
      </w:r>
      <w:r w:rsidR="00EB1CBB">
        <w:t xml:space="preserve"> (</w:t>
      </w:r>
      <w:r w:rsidR="00BC3A85">
        <w:t xml:space="preserve">a to i po </w:t>
      </w:r>
      <w:r w:rsidR="00EB1CBB">
        <w:t>zohledn</w:t>
      </w:r>
      <w:r w:rsidR="00BC3A85">
        <w:t>ěné</w:t>
      </w:r>
      <w:r w:rsidR="00EB1CBB">
        <w:t xml:space="preserve"> rozpočtem protékající</w:t>
      </w:r>
      <w:r w:rsidR="00BC3A85">
        <w:t>ch</w:t>
      </w:r>
      <w:r w:rsidR="00EB1CBB">
        <w:t xml:space="preserve"> pro</w:t>
      </w:r>
      <w:r w:rsidR="00BC3A85">
        <w:t>středků</w:t>
      </w:r>
      <w:r w:rsidR="00EB1CBB">
        <w:t xml:space="preserve"> na výplatu sociálních dávek)</w:t>
      </w:r>
      <w:r w:rsidR="00EB1CBB" w:rsidRPr="00191A87">
        <w:t>.</w:t>
      </w:r>
      <w:r w:rsidR="00EB1CBB">
        <w:t xml:space="preserve"> Pokles objemu provozní části </w:t>
      </w:r>
      <w:r w:rsidR="00BC3A85">
        <w:t xml:space="preserve">příjmů </w:t>
      </w:r>
      <w:r w:rsidR="00EB1CBB">
        <w:t xml:space="preserve">v absolutních hodnotách je pak důsledkem ekonomické krize z roku 2009, která se projevila zejména v poklesu objemu sdílených daní (o </w:t>
      </w:r>
      <w:r w:rsidR="00BC3A85">
        <w:t>149,7</w:t>
      </w:r>
      <w:r w:rsidR="00EB1CBB">
        <w:t xml:space="preserve"> mil. Kč, tj. 1</w:t>
      </w:r>
      <w:r w:rsidR="00BC3A85">
        <w:t>4,2</w:t>
      </w:r>
      <w:r w:rsidR="00EB1CBB">
        <w:t xml:space="preserve"> %). Na tuto objek</w:t>
      </w:r>
      <w:r w:rsidR="00757BFE">
        <w:t xml:space="preserve">tivní skutečnost sice dokázalo SML v provozní části výdajů </w:t>
      </w:r>
      <w:r w:rsidR="00EB1CBB">
        <w:t xml:space="preserve">zareagovat, </w:t>
      </w:r>
      <w:r w:rsidR="00757BFE">
        <w:t>nikoli však pr</w:t>
      </w:r>
      <w:r w:rsidR="00757BFE">
        <w:t>o</w:t>
      </w:r>
      <w:r w:rsidR="00757BFE">
        <w:t>porcionálně, tudíž</w:t>
      </w:r>
      <w:r w:rsidR="00EB1CBB">
        <w:t xml:space="preserve"> na konci sledovaného období přebytek běžného rozpočtu </w:t>
      </w:r>
      <w:r w:rsidR="00757BFE">
        <w:t>poklesl</w:t>
      </w:r>
      <w:r w:rsidR="00EB1CBB">
        <w:t xml:space="preserve">. </w:t>
      </w:r>
    </w:p>
    <w:p w:rsidR="00EB1CBB" w:rsidRDefault="00EB1CBB" w:rsidP="00EB1CBB">
      <w:r>
        <w:t xml:space="preserve">Pokud ovšem zahrneme také rok 2013, meziroční pokles běžných příjmů upraveného rozpočtu je </w:t>
      </w:r>
      <w:r w:rsidR="00757BFE">
        <w:t>348,7</w:t>
      </w:r>
      <w:r>
        <w:t xml:space="preserve"> mil. Kč, naopak pokles běžných výdajů je </w:t>
      </w:r>
      <w:r w:rsidR="00757BFE">
        <w:t>404,4</w:t>
      </w:r>
      <w:r>
        <w:t xml:space="preserve"> mil. Kč. Tato meziroční změna provozního ro</w:t>
      </w:r>
      <w:r>
        <w:t>z</w:t>
      </w:r>
      <w:r>
        <w:t>počtu je naopak ukazatelem možného z</w:t>
      </w:r>
      <w:r w:rsidR="00757BFE">
        <w:t>lepšení provozního</w:t>
      </w:r>
      <w:r>
        <w:t xml:space="preserve"> </w:t>
      </w:r>
      <w:r w:rsidRPr="00821DB8">
        <w:t>hospodaření. Při pohledu na plnění je</w:t>
      </w:r>
      <w:r w:rsidR="00757BFE" w:rsidRPr="00821DB8">
        <w:t>dnotlivých tříd rozpočtu je</w:t>
      </w:r>
      <w:r w:rsidRPr="00821DB8">
        <w:t xml:space="preserve"> </w:t>
      </w:r>
      <w:r w:rsidR="00757BFE" w:rsidRPr="00821DB8">
        <w:t xml:space="preserve">však </w:t>
      </w:r>
      <w:r w:rsidRPr="00821DB8">
        <w:t xml:space="preserve">patrné, že zatímco běžné příjmy dosahují po </w:t>
      </w:r>
      <w:r w:rsidR="00C11851" w:rsidRPr="00821DB8">
        <w:t>2/3 rozpočtového roku</w:t>
      </w:r>
      <w:r w:rsidRPr="00821DB8">
        <w:t xml:space="preserve"> na </w:t>
      </w:r>
      <w:r w:rsidR="00821DB8" w:rsidRPr="00821DB8">
        <w:t>68,8</w:t>
      </w:r>
      <w:r w:rsidRPr="00821DB8">
        <w:t xml:space="preserve"> % hodnoty </w:t>
      </w:r>
      <w:r w:rsidR="00821DB8" w:rsidRPr="00821DB8">
        <w:t>schváleného</w:t>
      </w:r>
      <w:r w:rsidRPr="00821DB8">
        <w:t xml:space="preserve"> rozpočtu, běžné výdaje jsou plněny na </w:t>
      </w:r>
      <w:r w:rsidR="00821DB8" w:rsidRPr="00821DB8">
        <w:t>71,2</w:t>
      </w:r>
      <w:r w:rsidRPr="00821DB8">
        <w:t xml:space="preserve"> %. </w:t>
      </w:r>
      <w:r w:rsidR="00757BFE" w:rsidRPr="00821DB8">
        <w:t>Vždy j</w:t>
      </w:r>
      <w:r w:rsidRPr="00821DB8">
        <w:t>e tedy zapotřebí sledovat, jak se bude provozní část rozpočtu dále vyvíjet, neboť trend, při kterém rostou běžné výdaje rychlejším tempem</w:t>
      </w:r>
      <w:r w:rsidR="00757BFE" w:rsidRPr="00821DB8">
        <w:t xml:space="preserve"> než běžné příjmy</w:t>
      </w:r>
      <w:r w:rsidRPr="00821DB8">
        <w:t>, by byl dlouhodobě neudržitelný.</w:t>
      </w:r>
    </w:p>
    <w:p w:rsidR="008368E0" w:rsidRPr="00DF30AF" w:rsidRDefault="009A4DFE" w:rsidP="00AA4811">
      <w:pPr>
        <w:pStyle w:val="graf"/>
      </w:pPr>
      <w:bookmarkStart w:id="20" w:name="_Toc374432384"/>
      <w:r w:rsidRPr="00DF30AF">
        <w:t>Meziroční změny běžných příjmů a výdajů</w:t>
      </w:r>
      <w:bookmarkEnd w:id="20"/>
    </w:p>
    <w:p w:rsidR="002D54C1" w:rsidRDefault="009A4DFE" w:rsidP="009A4DFE">
      <w:pPr>
        <w:tabs>
          <w:tab w:val="left" w:pos="4536"/>
        </w:tabs>
      </w:pPr>
      <w:r>
        <w:t>Běžné příjmy a výdaje v %</w:t>
      </w:r>
      <w:r>
        <w:tab/>
        <w:t>Běžné příjmy a výdaje (</w:t>
      </w:r>
      <w:r w:rsidR="00913081">
        <w:t xml:space="preserve">v </w:t>
      </w:r>
      <w:r>
        <w:t>absolutních hodnotách)</w:t>
      </w:r>
    </w:p>
    <w:p w:rsidR="008368E0" w:rsidRDefault="009C4C2B" w:rsidP="00803120">
      <w:r w:rsidRPr="009C4C2B">
        <w:t xml:space="preserve"> </w:t>
      </w:r>
      <w:r w:rsidR="00DF30AF" w:rsidRPr="00DF30AF">
        <w:rPr>
          <w:noProof/>
        </w:rPr>
        <w:drawing>
          <wp:inline distT="0" distB="0" distL="0" distR="0">
            <wp:extent cx="2824244" cy="2227097"/>
            <wp:effectExtent l="19050" t="0" r="0" b="0"/>
            <wp:docPr id="25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105" cy="2229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30AF" w:rsidRPr="00DF30AF">
        <w:rPr>
          <w:noProof/>
        </w:rPr>
        <w:drawing>
          <wp:inline distT="0" distB="0" distL="0" distR="0">
            <wp:extent cx="2838472" cy="2238317"/>
            <wp:effectExtent l="19050" t="0" r="0" b="0"/>
            <wp:docPr id="26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42" cy="2238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B98" w:rsidRDefault="005E5B98" w:rsidP="00803120"/>
    <w:p w:rsidR="001938E5" w:rsidRPr="0003715B" w:rsidRDefault="001938E5" w:rsidP="001938E5">
      <w:r>
        <w:t xml:space="preserve">O vztahu mezi provozními příjmy a výdaji nejlépe </w:t>
      </w:r>
      <w:r w:rsidRPr="00662539">
        <w:t>vypovídá provozní přebytek. V každém analyzov</w:t>
      </w:r>
      <w:r w:rsidRPr="00662539">
        <w:t>a</w:t>
      </w:r>
      <w:r w:rsidRPr="00662539">
        <w:t xml:space="preserve">ném roce nabýval provozní přebytek kladných hodnot. Nejvyšší hodnoty tento základní ukazatel dosáhl v roce 2012 (571,2 mil. Kč), </w:t>
      </w:r>
      <w:r w:rsidR="00662539" w:rsidRPr="00662539">
        <w:t xml:space="preserve">a to zejména </w:t>
      </w:r>
      <w:r w:rsidRPr="00662539">
        <w:t xml:space="preserve">v důsledku </w:t>
      </w:r>
      <w:r w:rsidR="00662539" w:rsidRPr="00662539">
        <w:t>jednorázových splátek půjčených pr</w:t>
      </w:r>
      <w:r w:rsidR="00662539" w:rsidRPr="00662539">
        <w:t>o</w:t>
      </w:r>
      <w:r w:rsidR="00662539" w:rsidRPr="00662539">
        <w:t xml:space="preserve">středků od podnikatelských nefinančních právnických osob (445,1 mil. Kč), </w:t>
      </w:r>
      <w:r w:rsidRPr="00662539">
        <w:t>nejnižší</w:t>
      </w:r>
      <w:r w:rsidR="00662539" w:rsidRPr="00662539">
        <w:t>ho přebytku</w:t>
      </w:r>
      <w:r w:rsidRPr="00662539">
        <w:t xml:space="preserve"> pak v roce 2009 (72,9 mil. Kč)</w:t>
      </w:r>
      <w:r w:rsidR="00662539" w:rsidRPr="00662539">
        <w:t>, v důsledku již zmíněné ekonomické krize</w:t>
      </w:r>
      <w:r w:rsidRPr="00662539">
        <w:t>.</w:t>
      </w:r>
    </w:p>
    <w:p w:rsidR="002D54C1" w:rsidRPr="00DF30AF" w:rsidRDefault="009A4DFE" w:rsidP="00AA4811">
      <w:pPr>
        <w:pStyle w:val="graf"/>
      </w:pPr>
      <w:bookmarkStart w:id="21" w:name="_Toc374432385"/>
      <w:r w:rsidRPr="00DF30AF">
        <w:t>Vývoj běžných příjmů, výdajů a provozního přebytku</w:t>
      </w:r>
      <w:bookmarkEnd w:id="21"/>
    </w:p>
    <w:p w:rsidR="009A4DFE" w:rsidRDefault="00762B7A" w:rsidP="000F25C9">
      <w:pPr>
        <w:jc w:val="center"/>
      </w:pPr>
      <w:r w:rsidRPr="00762B7A">
        <w:rPr>
          <w:noProof/>
        </w:rPr>
        <w:drawing>
          <wp:inline distT="0" distB="0" distL="0" distR="0">
            <wp:extent cx="5760720" cy="2708554"/>
            <wp:effectExtent l="19050" t="0" r="0" b="0"/>
            <wp:docPr id="19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08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539" w:rsidRDefault="00662539" w:rsidP="00662539">
      <w:r>
        <w:t>Další možností, jak zhodnotit hospodaření města, jsou hodnoty indexu provozních úspor. Index vyj</w:t>
      </w:r>
      <w:r>
        <w:t>a</w:t>
      </w:r>
      <w:r>
        <w:t>dřuje procentuální hodnotu finančních prostředků, které městu zůstávají z provozních příjmů po úhradě provozních výdajů. Minimální hodnota ukazatele je 10 %, v ideálním případě se procentuální výše ukazatele má pohybovat v rozmezí 20 – 25 %.</w:t>
      </w:r>
    </w:p>
    <w:p w:rsidR="001A39CE" w:rsidRPr="00DF30AF" w:rsidRDefault="00686FBD" w:rsidP="006411C3">
      <w:pPr>
        <w:pStyle w:val="graf"/>
      </w:pPr>
      <w:bookmarkStart w:id="22" w:name="_Toc374432386"/>
      <w:r w:rsidRPr="00DF30AF">
        <w:t>Vývoj indexu provozních úspor</w:t>
      </w:r>
      <w:bookmarkEnd w:id="22"/>
    </w:p>
    <w:p w:rsidR="000C00E9" w:rsidRPr="0003715B" w:rsidRDefault="006411C3" w:rsidP="009C4C2B">
      <w:pPr>
        <w:jc w:val="center"/>
      </w:pPr>
      <w:r w:rsidRPr="006411C3">
        <w:rPr>
          <w:noProof/>
        </w:rPr>
        <w:drawing>
          <wp:inline distT="0" distB="0" distL="0" distR="0">
            <wp:extent cx="5760720" cy="2498780"/>
            <wp:effectExtent l="19050" t="0" r="0" b="0"/>
            <wp:docPr id="32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9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589" w:rsidRPr="006411C3" w:rsidRDefault="00833589" w:rsidP="00803120">
      <w:pPr>
        <w:rPr>
          <w:sz w:val="16"/>
          <w:szCs w:val="16"/>
        </w:rPr>
      </w:pPr>
    </w:p>
    <w:p w:rsidR="00662539" w:rsidRDefault="00662539" w:rsidP="00662539">
      <w:r w:rsidRPr="00AF742F">
        <w:t xml:space="preserve">Předcházející graf ukazuje relativně nízké hodnoty indexu provozních úspor. Pozornost upoutá </w:t>
      </w:r>
      <w:r w:rsidR="00621745">
        <w:t>zejména přechodné zvýšení indexu v roce 2011 (díky již zmíněným splátkám půjček)</w:t>
      </w:r>
      <w:r w:rsidR="00AF4B69">
        <w:t>,</w:t>
      </w:r>
      <w:r w:rsidR="00621745">
        <w:t xml:space="preserve"> </w:t>
      </w:r>
      <w:r w:rsidRPr="00AF742F">
        <w:t xml:space="preserve">evidentní </w:t>
      </w:r>
      <w:r w:rsidR="00AF4B69">
        <w:t xml:space="preserve">je také </w:t>
      </w:r>
      <w:r w:rsidRPr="00AF742F">
        <w:t xml:space="preserve">dopad finanční krize, která ovlivnila hospodaření města v následujících letech, zejména v oblasti sdílených daní (meziroční pokles o </w:t>
      </w:r>
      <w:r w:rsidR="00621745">
        <w:t>149,7</w:t>
      </w:r>
      <w:r w:rsidRPr="00AF742F">
        <w:t xml:space="preserve"> mil. Kč, tj. 1</w:t>
      </w:r>
      <w:r w:rsidR="00621745">
        <w:t>4</w:t>
      </w:r>
      <w:r w:rsidRPr="00AF742F">
        <w:t>,</w:t>
      </w:r>
      <w:r w:rsidR="00621745">
        <w:t>2</w:t>
      </w:r>
      <w:r w:rsidRPr="00AF742F">
        <w:t xml:space="preserve"> </w:t>
      </w:r>
      <w:r w:rsidRPr="00AF4B69">
        <w:t xml:space="preserve">%). </w:t>
      </w:r>
      <w:r w:rsidR="00E33463">
        <w:t>V roce 2009</w:t>
      </w:r>
      <w:r w:rsidRPr="00AF742F">
        <w:t xml:space="preserve"> běžné výdaje </w:t>
      </w:r>
      <w:r w:rsidR="00E33463">
        <w:t>SML</w:t>
      </w:r>
      <w:r w:rsidRPr="00AF742F">
        <w:t xml:space="preserve"> nereag</w:t>
      </w:r>
      <w:r w:rsidRPr="00AF742F">
        <w:t>o</w:t>
      </w:r>
      <w:r w:rsidRPr="00AF742F">
        <w:t>valy na skutečnost plnění běžných příjmů a rostly neadekvátně k příjmům. Dopad finanční krize byl znám ve třetím čtvrtletí 2009 po podání daňových přiznání z podnikání právnických a fyzických osob. V tomto období byla již řada akcí charak</w:t>
      </w:r>
      <w:r>
        <w:t>teru oprav zadána a realizována</w:t>
      </w:r>
      <w:r w:rsidRPr="00AF742F">
        <w:t xml:space="preserve">. </w:t>
      </w:r>
      <w:r w:rsidR="00436502">
        <w:t>Od roku 2010</w:t>
      </w:r>
      <w:r w:rsidRPr="00AF742F">
        <w:t xml:space="preserve"> </w:t>
      </w:r>
      <w:r w:rsidR="00436502">
        <w:t>se kr</w:t>
      </w:r>
      <w:r w:rsidR="00436502">
        <w:t>o</w:t>
      </w:r>
      <w:r w:rsidR="00436502">
        <w:t>mě „zotavování“ provozních příjmů podařilo najít úspory v provozních výdajích, proto index meziročně rostl.</w:t>
      </w:r>
      <w:r w:rsidRPr="00AF742F">
        <w:t xml:space="preserve"> </w:t>
      </w:r>
      <w:r w:rsidR="00436502">
        <w:t>Růst</w:t>
      </w:r>
      <w:r w:rsidRPr="00AF742F">
        <w:t xml:space="preserve"> ukazatele v rozpočtu roku 2013 je třeba brát orientačně, a to i </w:t>
      </w:r>
      <w:r w:rsidR="00436502">
        <w:t>přes</w:t>
      </w:r>
      <w:r w:rsidRPr="00AF742F">
        <w:t xml:space="preserve"> aplikaci </w:t>
      </w:r>
      <w:r>
        <w:t>opatrnostního principu při sestavování rozpočtu.</w:t>
      </w:r>
    </w:p>
    <w:p w:rsidR="006411C3" w:rsidRDefault="00C17382" w:rsidP="006411C3">
      <w:pPr>
        <w:pStyle w:val="graf"/>
      </w:pPr>
      <w:bookmarkStart w:id="23" w:name="_Toc374432387"/>
      <w:r w:rsidRPr="003D3E05">
        <w:t>Vývoj vybraný</w:t>
      </w:r>
      <w:r w:rsidR="00C20BCD">
        <w:t>ch</w:t>
      </w:r>
      <w:r w:rsidRPr="003D3E05">
        <w:t xml:space="preserve"> výdajových skupin</w:t>
      </w:r>
      <w:bookmarkEnd w:id="23"/>
    </w:p>
    <w:p w:rsidR="006411C3" w:rsidRDefault="003D3E05" w:rsidP="00803120">
      <w:r w:rsidRPr="003D3E05">
        <w:rPr>
          <w:noProof/>
        </w:rPr>
        <w:drawing>
          <wp:inline distT="0" distB="0" distL="0" distR="0">
            <wp:extent cx="2817130" cy="2221487"/>
            <wp:effectExtent l="19050" t="0" r="2270" b="0"/>
            <wp:docPr id="39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101" cy="2221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C2B" w:rsidRPr="009C4C2B">
        <w:t xml:space="preserve"> </w:t>
      </w:r>
      <w:r w:rsidR="006411C3" w:rsidRPr="006411C3">
        <w:rPr>
          <w:noProof/>
        </w:rPr>
        <w:drawing>
          <wp:inline distT="0" distB="0" distL="0" distR="0">
            <wp:extent cx="2810016" cy="2215877"/>
            <wp:effectExtent l="19050" t="0" r="9384" b="0"/>
            <wp:docPr id="5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858" cy="2218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382" w:rsidRDefault="003D3E05" w:rsidP="00803120">
      <w:r w:rsidRPr="003D3E05">
        <w:rPr>
          <w:noProof/>
        </w:rPr>
        <w:drawing>
          <wp:inline distT="0" distB="0" distL="0" distR="0">
            <wp:extent cx="2817131" cy="2221487"/>
            <wp:effectExtent l="19050" t="0" r="2269" b="0"/>
            <wp:docPr id="43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101" cy="2221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0BD4">
        <w:t xml:space="preserve"> </w:t>
      </w:r>
      <w:r w:rsidR="00020BD4" w:rsidRPr="00020BD4">
        <w:rPr>
          <w:noProof/>
        </w:rPr>
        <w:drawing>
          <wp:inline distT="0" distB="0" distL="0" distR="0">
            <wp:extent cx="2817611" cy="2221867"/>
            <wp:effectExtent l="19050" t="0" r="1789" b="0"/>
            <wp:docPr id="57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301" cy="2223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1C3" w:rsidRDefault="006411C3">
      <w:pPr>
        <w:spacing w:line="240" w:lineRule="auto"/>
        <w:jc w:val="left"/>
      </w:pPr>
    </w:p>
    <w:p w:rsidR="006411C3" w:rsidRDefault="006411C3" w:rsidP="006411C3">
      <w:r>
        <w:t>Výdajovou část rozpočtu nejvíce zatěžovaly výdaje spojené s </w:t>
      </w:r>
      <w:r w:rsidR="00020BD4">
        <w:t xml:space="preserve">neinvestičními nákupy, dále výdaje na </w:t>
      </w:r>
      <w:r>
        <w:t xml:space="preserve">neinvestiční transfery PO, </w:t>
      </w:r>
      <w:r w:rsidR="00020BD4">
        <w:t>platy včetně</w:t>
      </w:r>
      <w:r>
        <w:t xml:space="preserve"> pojistn</w:t>
      </w:r>
      <w:r w:rsidR="00020BD4">
        <w:t>ého</w:t>
      </w:r>
      <w:r>
        <w:t xml:space="preserve"> a výdaje spojené s udržováním a opravami majetku města. V průběhu analyzovaného období </w:t>
      </w:r>
      <w:r w:rsidR="00020BD4">
        <w:t>SML</w:t>
      </w:r>
      <w:r>
        <w:t xml:space="preserve"> usiluje o snahu šetřit na provozních výdajích, jež má možnost jakýmkoliv způsobem ovlivňovat, racionalizací a optimalizací jejich skladby. </w:t>
      </w:r>
      <w:r w:rsidR="00020BD4">
        <w:t>Vícečetný graf č. 8 znázorňuje v</w:t>
      </w:r>
      <w:r>
        <w:t xml:space="preserve">ývoj vybraných výdajových skupin provozního rozpočtu mezi roky 2008 – 2013. Vývoj ukazatelů v roce 2013 je třeba brát s rezervou, neboť se jedná o </w:t>
      </w:r>
      <w:r w:rsidR="00D2313D">
        <w:t>platný</w:t>
      </w:r>
      <w:r>
        <w:t xml:space="preserve"> rozpočet ve </w:t>
      </w:r>
      <w:r w:rsidR="001C6051">
        <w:t>2/3</w:t>
      </w:r>
      <w:r>
        <w:t xml:space="preserve"> rozpo</w:t>
      </w:r>
      <w:r>
        <w:t>č</w:t>
      </w:r>
      <w:r>
        <w:t>tového období.</w:t>
      </w:r>
    </w:p>
    <w:p w:rsidR="00C17382" w:rsidRPr="00DF30AF" w:rsidRDefault="004730E7" w:rsidP="00F274C2">
      <w:pPr>
        <w:pStyle w:val="graf"/>
      </w:pPr>
      <w:bookmarkStart w:id="24" w:name="_Toc374432388"/>
      <w:r w:rsidRPr="00DF30AF">
        <w:t>Vývoj</w:t>
      </w:r>
      <w:r w:rsidR="007542F9" w:rsidRPr="00DF30AF">
        <w:t xml:space="preserve"> rozdílu</w:t>
      </w:r>
      <w:r w:rsidRPr="00DF30AF">
        <w:t xml:space="preserve"> provozního přebytku</w:t>
      </w:r>
      <w:r w:rsidR="007542F9" w:rsidRPr="00DF30AF">
        <w:t xml:space="preserve"> a splátek jistin</w:t>
      </w:r>
      <w:bookmarkEnd w:id="24"/>
    </w:p>
    <w:p w:rsidR="00C17382" w:rsidRDefault="00DF30AF" w:rsidP="009C4C2B">
      <w:pPr>
        <w:jc w:val="center"/>
      </w:pPr>
      <w:r w:rsidRPr="00DF30AF">
        <w:rPr>
          <w:noProof/>
        </w:rPr>
        <w:drawing>
          <wp:inline distT="0" distB="0" distL="0" distR="0">
            <wp:extent cx="5760720" cy="2708554"/>
            <wp:effectExtent l="19050" t="0" r="0" b="0"/>
            <wp:docPr id="21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08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2D8" w:rsidRDefault="00E552D8" w:rsidP="00765F88">
      <w:pPr>
        <w:jc w:val="left"/>
      </w:pPr>
    </w:p>
    <w:p w:rsidR="000209D2" w:rsidRDefault="000209D2" w:rsidP="000209D2">
      <w:r>
        <w:t>Pro města s dluhovou službou je důležitým ukazatelem hospodaření rozdíl provozního přebytku a splátek jistin. Pro tento ukazatel platí stejné závěry jako pro provozní přebytek – jeho hodnoty by měly být vždy kladné, protože až po uhrazení splátek jistin v daném roce hodnota ukazatele vyjadř</w:t>
      </w:r>
      <w:r>
        <w:t>u</w:t>
      </w:r>
      <w:r>
        <w:t>je částku z provozního rozpočtu použitelnou na rozvoj města formou investičních výdajů. V analyzovaném období ukazatel tento předpoklad splňuje</w:t>
      </w:r>
      <w:r w:rsidR="00FE0FB5">
        <w:t xml:space="preserve"> pouze v roce 2008 a 2011, resp. také v roce</w:t>
      </w:r>
      <w:r>
        <w:t xml:space="preserve"> 2013</w:t>
      </w:r>
      <w:r w:rsidR="00FE0FB5">
        <w:t>.</w:t>
      </w:r>
    </w:p>
    <w:p w:rsidR="00694513" w:rsidRPr="00850E8F" w:rsidRDefault="00667E56" w:rsidP="00694513">
      <w:pPr>
        <w:pStyle w:val="Nadpis2"/>
      </w:pPr>
      <w:bookmarkStart w:id="25" w:name="_Toc374432419"/>
      <w:r w:rsidRPr="00850E8F">
        <w:t>Analýza roz</w:t>
      </w:r>
      <w:r w:rsidR="00297A5B" w:rsidRPr="00850E8F">
        <w:t>p</w:t>
      </w:r>
      <w:r w:rsidRPr="00850E8F">
        <w:t>očtu</w:t>
      </w:r>
      <w:bookmarkEnd w:id="25"/>
    </w:p>
    <w:p w:rsidR="00667E56" w:rsidRDefault="00667E56" w:rsidP="00667E56">
      <w:r w:rsidRPr="00667E56">
        <w:t xml:space="preserve">V kontextu rozboru hospodaření </w:t>
      </w:r>
      <w:r w:rsidR="00A156EF">
        <w:t xml:space="preserve">uplynulého období (2008 – 2012) včetně </w:t>
      </w:r>
      <w:r w:rsidR="00B27BE1">
        <w:t>upraveného</w:t>
      </w:r>
      <w:r w:rsidR="00A156EF">
        <w:t xml:space="preserve"> rozpočtu na rok 2013 vyplývají z porovnání </w:t>
      </w:r>
      <w:r w:rsidR="00114B41">
        <w:t xml:space="preserve">roku 2012 (účetní skutečnost) s </w:t>
      </w:r>
      <w:r w:rsidR="00A156EF">
        <w:t>hodnotami roku 2013</w:t>
      </w:r>
      <w:r w:rsidR="009C22D6">
        <w:t xml:space="preserve"> (</w:t>
      </w:r>
      <w:r w:rsidR="00131009">
        <w:t>plán hosp</w:t>
      </w:r>
      <w:r w:rsidR="00131009">
        <w:t>o</w:t>
      </w:r>
      <w:r w:rsidR="00131009">
        <w:t>daření</w:t>
      </w:r>
      <w:r w:rsidR="009C22D6">
        <w:t>)</w:t>
      </w:r>
      <w:r w:rsidR="00A156EF">
        <w:t xml:space="preserve"> následující závěry:</w:t>
      </w:r>
    </w:p>
    <w:p w:rsidR="00DF0E83" w:rsidRDefault="00DF0E83" w:rsidP="00667E56"/>
    <w:p w:rsidR="00A156EF" w:rsidRDefault="00A156EF" w:rsidP="00E6723E">
      <w:pPr>
        <w:pStyle w:val="Odstavecseseznamem"/>
        <w:numPr>
          <w:ilvl w:val="0"/>
          <w:numId w:val="6"/>
        </w:numPr>
      </w:pPr>
      <w:r>
        <w:t xml:space="preserve">běžné příjmy meziročně </w:t>
      </w:r>
      <w:r w:rsidR="00D5139F">
        <w:t>poklesnou</w:t>
      </w:r>
      <w:r>
        <w:t xml:space="preserve"> o </w:t>
      </w:r>
      <w:r w:rsidR="00D5139F">
        <w:t>13,7</w:t>
      </w:r>
      <w:r>
        <w:t xml:space="preserve"> mil. K</w:t>
      </w:r>
      <w:r w:rsidR="00D5139F">
        <w:t>č, zatímco běžné výdaje</w:t>
      </w:r>
      <w:r w:rsidR="009C22D6">
        <w:t xml:space="preserve"> </w:t>
      </w:r>
      <w:r w:rsidR="00D5139F">
        <w:t>se sníží dokonce</w:t>
      </w:r>
      <w:r>
        <w:t xml:space="preserve"> o </w:t>
      </w:r>
      <w:r w:rsidR="00D5139F">
        <w:t>110,6</w:t>
      </w:r>
      <w:r>
        <w:t xml:space="preserve"> mil. Kč</w:t>
      </w:r>
    </w:p>
    <w:p w:rsidR="00A156EF" w:rsidRDefault="00A156EF" w:rsidP="00E6723E">
      <w:pPr>
        <w:pStyle w:val="Odstavecseseznamem"/>
        <w:numPr>
          <w:ilvl w:val="0"/>
          <w:numId w:val="6"/>
        </w:numPr>
      </w:pPr>
      <w:r>
        <w:t>z tohoto důvodu provozní</w:t>
      </w:r>
      <w:r w:rsidR="00C93665">
        <w:t xml:space="preserve"> přebytek</w:t>
      </w:r>
      <w:r>
        <w:t xml:space="preserve"> </w:t>
      </w:r>
      <w:r w:rsidR="009C22D6">
        <w:t>bude vykazovat meziroční</w:t>
      </w:r>
      <w:r>
        <w:t xml:space="preserve"> </w:t>
      </w:r>
      <w:r w:rsidR="00D5139F">
        <w:t>nárůst</w:t>
      </w:r>
      <w:r w:rsidR="00C93665">
        <w:t xml:space="preserve"> o </w:t>
      </w:r>
      <w:r w:rsidR="00D5139F">
        <w:t>96,9</w:t>
      </w:r>
      <w:r w:rsidR="00C93665">
        <w:t xml:space="preserve"> mil. Kč</w:t>
      </w:r>
      <w:r w:rsidR="00114B41">
        <w:t xml:space="preserve"> </w:t>
      </w:r>
      <w:r w:rsidR="00B27BE1">
        <w:t xml:space="preserve">a jeho </w:t>
      </w:r>
      <w:r w:rsidR="009C22D6">
        <w:t>hodnota</w:t>
      </w:r>
      <w:r w:rsidR="00B27BE1">
        <w:t xml:space="preserve"> </w:t>
      </w:r>
      <w:r w:rsidR="009C22D6">
        <w:t xml:space="preserve">by měla dosáhnout </w:t>
      </w:r>
      <w:r w:rsidR="00D5139F">
        <w:t>224,7</w:t>
      </w:r>
      <w:r w:rsidR="009C22D6">
        <w:t xml:space="preserve"> mil. Kč</w:t>
      </w:r>
    </w:p>
    <w:p w:rsidR="00C93665" w:rsidRDefault="00C93665" w:rsidP="00E6723E">
      <w:pPr>
        <w:pStyle w:val="Odstavecseseznamem"/>
        <w:numPr>
          <w:ilvl w:val="0"/>
          <w:numId w:val="6"/>
        </w:numPr>
      </w:pPr>
      <w:r>
        <w:t>také index provozních úspor vyká</w:t>
      </w:r>
      <w:r w:rsidR="00DF0E83">
        <w:t>že</w:t>
      </w:r>
      <w:r>
        <w:t xml:space="preserve"> </w:t>
      </w:r>
      <w:r w:rsidR="00C20BCD">
        <w:t>nárůst</w:t>
      </w:r>
      <w:r>
        <w:t xml:space="preserve"> o </w:t>
      </w:r>
      <w:r w:rsidR="00D5139F">
        <w:t xml:space="preserve">6,46 procentního bodu na 14,81 % </w:t>
      </w:r>
    </w:p>
    <w:p w:rsidR="00C93665" w:rsidRDefault="00D5139F" w:rsidP="00E6723E">
      <w:pPr>
        <w:pStyle w:val="Odstavecseseznamem"/>
        <w:numPr>
          <w:ilvl w:val="0"/>
          <w:numId w:val="6"/>
        </w:numPr>
      </w:pPr>
      <w:r>
        <w:t>i díky</w:t>
      </w:r>
      <w:r w:rsidR="00E46D1B">
        <w:t xml:space="preserve"> pokles</w:t>
      </w:r>
      <w:r>
        <w:t>u výše splátek jistin</w:t>
      </w:r>
      <w:r w:rsidR="00765F88">
        <w:t xml:space="preserve"> by měl </w:t>
      </w:r>
      <w:r w:rsidR="00C93665">
        <w:t xml:space="preserve">rozdíl provozního přebytku a splátek jistin </w:t>
      </w:r>
      <w:r w:rsidR="00C20BCD">
        <w:t>dosá</w:t>
      </w:r>
      <w:r w:rsidR="00C20BCD">
        <w:t>h</w:t>
      </w:r>
      <w:r w:rsidR="00C20BCD">
        <w:t>nout</w:t>
      </w:r>
      <w:r w:rsidR="000D3215">
        <w:t xml:space="preserve"> </w:t>
      </w:r>
      <w:r>
        <w:t>kladnou</w:t>
      </w:r>
      <w:r w:rsidR="00C93665">
        <w:t xml:space="preserve"> </w:t>
      </w:r>
      <w:r w:rsidR="000D3215">
        <w:t>hodnotu</w:t>
      </w:r>
      <w:r w:rsidR="00765F88">
        <w:t xml:space="preserve"> </w:t>
      </w:r>
      <w:r>
        <w:t>102,4</w:t>
      </w:r>
      <w:r w:rsidR="00DF0E83">
        <w:t xml:space="preserve"> </w:t>
      </w:r>
      <w:r w:rsidR="00C93665">
        <w:t>mil. Kč</w:t>
      </w:r>
    </w:p>
    <w:p w:rsidR="00C93665" w:rsidRDefault="00E46D1B" w:rsidP="00E6723E">
      <w:pPr>
        <w:pStyle w:val="Odstavecseseznamem"/>
        <w:numPr>
          <w:ilvl w:val="0"/>
          <w:numId w:val="6"/>
        </w:numPr>
      </w:pPr>
      <w:r>
        <w:t xml:space="preserve">díky poklesu splátek jistin </w:t>
      </w:r>
      <w:r w:rsidR="00D5139F">
        <w:t>in</w:t>
      </w:r>
      <w:r w:rsidR="00C93665">
        <w:t>dex dluho</w:t>
      </w:r>
      <w:r w:rsidR="00765F88">
        <w:t>vé služby dosáh</w:t>
      </w:r>
      <w:r>
        <w:t>ne</w:t>
      </w:r>
      <w:r w:rsidR="00765F88">
        <w:t xml:space="preserve"> zlepšení o </w:t>
      </w:r>
      <w:r w:rsidR="00D5139F">
        <w:t>6,99 procentního bodu</w:t>
      </w:r>
      <w:r>
        <w:t xml:space="preserve"> na </w:t>
      </w:r>
      <w:r w:rsidR="00D5139F">
        <w:t>13,91</w:t>
      </w:r>
      <w:r>
        <w:t xml:space="preserve"> %</w:t>
      </w:r>
    </w:p>
    <w:p w:rsidR="00C93665" w:rsidRDefault="00C93665" w:rsidP="00C93665"/>
    <w:p w:rsidR="00C93665" w:rsidRDefault="00185338" w:rsidP="00C93665">
      <w:r>
        <w:t>Z uvedených důvodů vyplývá</w:t>
      </w:r>
      <w:r w:rsidRPr="000F1ACA">
        <w:t xml:space="preserve">, že </w:t>
      </w:r>
      <w:r w:rsidR="00114B41" w:rsidRPr="000F1ACA">
        <w:t>proces rozpočtování s</w:t>
      </w:r>
      <w:r w:rsidR="00D5139F">
        <w:t xml:space="preserve">e směrem k vývoji hospodaření </w:t>
      </w:r>
      <w:r w:rsidR="00114B41" w:rsidRPr="000F1ACA">
        <w:t>vyvíjí opt</w:t>
      </w:r>
      <w:r w:rsidR="00114B41" w:rsidRPr="000F1ACA">
        <w:t>i</w:t>
      </w:r>
      <w:r w:rsidR="00114B41" w:rsidRPr="000F1ACA">
        <w:t>málním směrem</w:t>
      </w:r>
      <w:r w:rsidRPr="000F1ACA">
        <w:t>.</w:t>
      </w:r>
      <w:r>
        <w:t xml:space="preserve"> Základní ukazatele ukazují na </w:t>
      </w:r>
      <w:r w:rsidR="00D5139F">
        <w:t>pozitivní</w:t>
      </w:r>
      <w:r>
        <w:t xml:space="preserve"> </w:t>
      </w:r>
      <w:r w:rsidR="00D5139F">
        <w:t>vývoj</w:t>
      </w:r>
      <w:r w:rsidR="00114B41">
        <w:t xml:space="preserve"> hodnot</w:t>
      </w:r>
      <w:r>
        <w:t xml:space="preserve"> plánu (rozpočtu) města. </w:t>
      </w:r>
      <w:r w:rsidR="00026AA5">
        <w:t xml:space="preserve">Při meziročním porovnání dle tříd rozpočtové skladby dosahují pozitivního trendu vývoje daňové </w:t>
      </w:r>
      <w:r w:rsidR="00D5139F">
        <w:t>a n</w:t>
      </w:r>
      <w:r w:rsidR="00D5139F">
        <w:t>e</w:t>
      </w:r>
      <w:r w:rsidR="00D5139F">
        <w:t xml:space="preserve">daňové </w:t>
      </w:r>
      <w:r w:rsidR="00026AA5">
        <w:t>příjmy</w:t>
      </w:r>
      <w:r w:rsidR="00765F88">
        <w:t xml:space="preserve">. Kladná změna na straně těchto příjmů </w:t>
      </w:r>
      <w:r w:rsidR="00E46D1B">
        <w:t xml:space="preserve">proporcionálně </w:t>
      </w:r>
      <w:r w:rsidR="00850E8F">
        <w:t>ne</w:t>
      </w:r>
      <w:r w:rsidR="00AC48ED">
        <w:t xml:space="preserve">vyváží úbytek </w:t>
      </w:r>
      <w:r w:rsidR="00850E8F">
        <w:t>transferů a kapitálových příjmů</w:t>
      </w:r>
      <w:r w:rsidR="00AC48ED">
        <w:t xml:space="preserve"> a celkov</w:t>
      </w:r>
      <w:r w:rsidR="00850E8F">
        <w:t>ý pokles příjmů dosahuje</w:t>
      </w:r>
      <w:r w:rsidR="00AC48ED">
        <w:t xml:space="preserve"> </w:t>
      </w:r>
      <w:r w:rsidR="00850E8F">
        <w:t>69,8</w:t>
      </w:r>
      <w:r w:rsidR="00AC48ED">
        <w:t xml:space="preserve"> mil. Kč. </w:t>
      </w:r>
      <w:r w:rsidR="00850E8F">
        <w:t>V</w:t>
      </w:r>
      <w:r w:rsidR="00AC48ED">
        <w:t xml:space="preserve">ýdaje </w:t>
      </w:r>
      <w:r w:rsidR="00850E8F">
        <w:t>klesají</w:t>
      </w:r>
      <w:r w:rsidR="00AC48ED">
        <w:t xml:space="preserve"> jak v provozní tak v investiční části rozpočtu</w:t>
      </w:r>
      <w:r w:rsidR="007A1D9D">
        <w:t xml:space="preserve">, což se projeví </w:t>
      </w:r>
      <w:r w:rsidR="00850E8F">
        <w:t>poklesem</w:t>
      </w:r>
      <w:r w:rsidR="007A1D9D">
        <w:t xml:space="preserve"> celkových </w:t>
      </w:r>
      <w:r w:rsidR="00850E8F">
        <w:t>výdajů</w:t>
      </w:r>
      <w:r w:rsidR="007A1D9D">
        <w:t xml:space="preserve"> o</w:t>
      </w:r>
      <w:r w:rsidR="00850E8F">
        <w:t xml:space="preserve"> </w:t>
      </w:r>
      <w:r w:rsidR="007A1D9D">
        <w:t>1</w:t>
      </w:r>
      <w:r w:rsidR="00850E8F">
        <w:t>73,0</w:t>
      </w:r>
      <w:r w:rsidR="007A1D9D">
        <w:t xml:space="preserve"> mil. Kč.</w:t>
      </w:r>
    </w:p>
    <w:p w:rsidR="007A1D9D" w:rsidRDefault="007A1D9D" w:rsidP="00C93665"/>
    <w:p w:rsidR="00E552D8" w:rsidRPr="008E7577" w:rsidRDefault="00E552D8" w:rsidP="00E552D8">
      <w:r>
        <w:t xml:space="preserve">Je třeba si </w:t>
      </w:r>
      <w:r w:rsidR="00850E8F">
        <w:t xml:space="preserve">ale </w:t>
      </w:r>
      <w:r>
        <w:t xml:space="preserve">uvědomit, že hodnocení rozpočtu </w:t>
      </w:r>
      <w:r w:rsidR="00850E8F">
        <w:t>je prováděno za</w:t>
      </w:r>
      <w:r w:rsidR="00821DB8">
        <w:t xml:space="preserve"> 2/3</w:t>
      </w:r>
      <w:r>
        <w:t xml:space="preserve"> rozpočtového roku. V průběhu roku dochází ke změnám rozpočtu zejména přijatými transfery a tato skutečnost v konečném d</w:t>
      </w:r>
      <w:r>
        <w:t>ů</w:t>
      </w:r>
      <w:r>
        <w:t>sledku zlepšuje základní ekonomické ukazatele a tím i celkové hospodaření města.</w:t>
      </w:r>
      <w:r w:rsidR="007A1D9D">
        <w:t xml:space="preserve"> Navíc je zřejmé, že správce rozpočtu zvolil k plnění rozpočtu opatrnostní přístup.</w:t>
      </w:r>
    </w:p>
    <w:p w:rsidR="003263C3" w:rsidRPr="002C3D9E" w:rsidRDefault="003263C3" w:rsidP="009B4507">
      <w:pPr>
        <w:pStyle w:val="Titulek"/>
      </w:pPr>
      <w:bookmarkStart w:id="26" w:name="_Toc354550546"/>
      <w:bookmarkStart w:id="27" w:name="_Toc374432396"/>
      <w:r w:rsidRPr="00DF30AF">
        <w:t xml:space="preserve">Tabulka </w:t>
      </w:r>
      <w:r w:rsidR="007442DE" w:rsidRPr="00DF30AF">
        <w:t xml:space="preserve">č. </w:t>
      </w:r>
      <w:r w:rsidR="00902CF0" w:rsidRPr="00DF30AF">
        <w:fldChar w:fldCharType="begin"/>
      </w:r>
      <w:r w:rsidRPr="00DF30AF">
        <w:instrText xml:space="preserve"> SEQ Tabulka \* ARABIC </w:instrText>
      </w:r>
      <w:r w:rsidR="00902CF0" w:rsidRPr="00DF30AF">
        <w:fldChar w:fldCharType="separate"/>
      </w:r>
      <w:r w:rsidR="0087113F" w:rsidRPr="00DF30AF">
        <w:t>2</w:t>
      </w:r>
      <w:r w:rsidR="00902CF0" w:rsidRPr="00DF30AF">
        <w:fldChar w:fldCharType="end"/>
      </w:r>
      <w:r w:rsidRPr="00DF30AF">
        <w:t xml:space="preserve">: </w:t>
      </w:r>
      <w:r w:rsidR="009B4507" w:rsidRPr="00DF30AF">
        <w:tab/>
      </w:r>
      <w:r w:rsidRPr="00DF30AF">
        <w:t>Meziroční změny ukazatelů hospodaření</w:t>
      </w:r>
      <w:bookmarkEnd w:id="26"/>
      <w:bookmarkEnd w:id="27"/>
    </w:p>
    <w:p w:rsidR="002F00E4" w:rsidRPr="002F00E4" w:rsidRDefault="00DF30AF" w:rsidP="002C3D9E">
      <w:pPr>
        <w:jc w:val="center"/>
      </w:pPr>
      <w:r w:rsidRPr="00DF30AF">
        <w:rPr>
          <w:noProof/>
        </w:rPr>
        <w:drawing>
          <wp:inline distT="0" distB="0" distL="0" distR="0">
            <wp:extent cx="4914265" cy="2277745"/>
            <wp:effectExtent l="19050" t="0" r="635" b="0"/>
            <wp:docPr id="22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265" cy="2277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7E56" w:rsidRPr="00667E56" w:rsidRDefault="00667E56" w:rsidP="00667E56"/>
    <w:p w:rsidR="00064384" w:rsidRDefault="007C3FCC" w:rsidP="00803120">
      <w:r>
        <w:t>Celkový pohled na meziroční změny provozního přebytku a provozních příjmů a výdajů s ohledem na vývoj v roce 2013 zobrazuje následující graf.</w:t>
      </w:r>
    </w:p>
    <w:p w:rsidR="00850E8F" w:rsidRDefault="00850E8F">
      <w:pPr>
        <w:spacing w:line="240" w:lineRule="auto"/>
        <w:jc w:val="left"/>
        <w:rPr>
          <w:rFonts w:eastAsiaTheme="minorHAnsi" w:cstheme="minorBidi"/>
          <w:b/>
          <w:szCs w:val="22"/>
          <w:lang w:eastAsia="en-US"/>
        </w:rPr>
      </w:pPr>
      <w:r>
        <w:br w:type="page"/>
      </w:r>
    </w:p>
    <w:p w:rsidR="00C17382" w:rsidRPr="00DF30AF" w:rsidRDefault="007C3FCC" w:rsidP="00F274C2">
      <w:pPr>
        <w:pStyle w:val="graf"/>
      </w:pPr>
      <w:bookmarkStart w:id="28" w:name="_Toc374432389"/>
      <w:r w:rsidRPr="00DF30AF">
        <w:t>Meziroční změny PP a provozních příjmů a výdajů</w:t>
      </w:r>
      <w:bookmarkEnd w:id="28"/>
    </w:p>
    <w:p w:rsidR="007C3FCC" w:rsidRPr="0051701E" w:rsidRDefault="00850E8F" w:rsidP="004C594A">
      <w:pPr>
        <w:jc w:val="center"/>
      </w:pPr>
      <w:r w:rsidRPr="00850E8F">
        <w:rPr>
          <w:noProof/>
        </w:rPr>
        <w:drawing>
          <wp:inline distT="0" distB="0" distL="0" distR="0">
            <wp:extent cx="5760720" cy="2598009"/>
            <wp:effectExtent l="19050" t="0" r="0" b="0"/>
            <wp:docPr id="63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8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FCC" w:rsidRPr="00850E8F" w:rsidRDefault="008E29AC" w:rsidP="00C41FF6">
      <w:pPr>
        <w:pStyle w:val="Nadpis3"/>
      </w:pPr>
      <w:r w:rsidRPr="00850E8F">
        <w:t>Sdílené daně</w:t>
      </w:r>
    </w:p>
    <w:p w:rsidR="008E29AC" w:rsidRDefault="008E29AC" w:rsidP="008E29AC">
      <w:r>
        <w:t xml:space="preserve">Základ příjmové části rozpočtu města tvoří sdílené daně. Plnění rozpočtovaných příjmů v této oblasti je nutné věnovat náležitou pozornost, obzvláště nyní v době probíhající reformy veřejných financí a </w:t>
      </w:r>
      <w:r w:rsidR="00114B41">
        <w:t>stagnující ekonomiky, která se dosud nevymanila z následků ekonomické krize</w:t>
      </w:r>
      <w:r>
        <w:t>. Sdílené daně pred</w:t>
      </w:r>
      <w:r>
        <w:t>i</w:t>
      </w:r>
      <w:r>
        <w:t>kované společností AQE advisors, a.s. vycház</w:t>
      </w:r>
      <w:r w:rsidR="00AC48ED">
        <w:t>ej</w:t>
      </w:r>
      <w:r>
        <w:t>í z údajů platného státního rozpočtu na rok 201</w:t>
      </w:r>
      <w:r w:rsidR="00714EF8">
        <w:t>3</w:t>
      </w:r>
      <w:r>
        <w:t xml:space="preserve">, zákona č. 377/2007 Sb., o rozpočtovém určení daní územním samosprávným celkům a některým státním fondům (zákon o rozpočtovém určení daní), a vyhlášky </w:t>
      </w:r>
      <w:r w:rsidR="00AA0238">
        <w:t>2</w:t>
      </w:r>
      <w:r w:rsidR="002D29C8">
        <w:t>64</w:t>
      </w:r>
      <w:r>
        <w:t>/201</w:t>
      </w:r>
      <w:r w:rsidR="002D29C8">
        <w:t>3</w:t>
      </w:r>
      <w:r>
        <w:t xml:space="preserve"> Sb., o podílu jednotlivých obcí na stanovených procentních částech celostátního hrubého výnosu daně z přidané hodnoty a dani z příjmů.</w:t>
      </w:r>
      <w:r w:rsidR="00114B41">
        <w:t xml:space="preserve"> </w:t>
      </w:r>
      <w:r>
        <w:t>Hodnoty pro výpočet sdílených daní jsou určeny následovně:</w:t>
      </w:r>
    </w:p>
    <w:p w:rsidR="00686FBD" w:rsidRDefault="00DF30AF" w:rsidP="00840D2D">
      <w:pPr>
        <w:pStyle w:val="AQE111"/>
        <w:jc w:val="center"/>
      </w:pPr>
      <w:r w:rsidRPr="00DF30AF">
        <w:rPr>
          <w:noProof/>
        </w:rPr>
        <w:drawing>
          <wp:inline distT="0" distB="0" distL="0" distR="0">
            <wp:extent cx="4095115" cy="981710"/>
            <wp:effectExtent l="19050" t="0" r="635" b="0"/>
            <wp:docPr id="34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981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3C3" w:rsidRPr="00DF30AF" w:rsidRDefault="003263C3" w:rsidP="009B4507">
      <w:pPr>
        <w:pStyle w:val="Titulek"/>
      </w:pPr>
      <w:bookmarkStart w:id="29" w:name="_Toc354550547"/>
      <w:bookmarkStart w:id="30" w:name="_Toc374432397"/>
      <w:r w:rsidRPr="009A23B3">
        <w:t>Tabulka</w:t>
      </w:r>
      <w:r w:rsidR="007442DE" w:rsidRPr="009A23B3">
        <w:t xml:space="preserve"> č.</w:t>
      </w:r>
      <w:r w:rsidRPr="009A23B3">
        <w:t xml:space="preserve"> </w:t>
      </w:r>
      <w:r w:rsidR="00902CF0" w:rsidRPr="009A23B3">
        <w:fldChar w:fldCharType="begin"/>
      </w:r>
      <w:r w:rsidRPr="009A23B3">
        <w:instrText xml:space="preserve"> SEQ Tabulka \* ARABIC </w:instrText>
      </w:r>
      <w:r w:rsidR="00902CF0" w:rsidRPr="009A23B3">
        <w:fldChar w:fldCharType="separate"/>
      </w:r>
      <w:r w:rsidR="0087113F" w:rsidRPr="009A23B3">
        <w:t>3</w:t>
      </w:r>
      <w:r w:rsidR="00902CF0" w:rsidRPr="009A23B3">
        <w:fldChar w:fldCharType="end"/>
      </w:r>
      <w:r w:rsidRPr="009A23B3">
        <w:t xml:space="preserve">: </w:t>
      </w:r>
      <w:r w:rsidR="009B4507" w:rsidRPr="009A23B3">
        <w:tab/>
      </w:r>
      <w:r w:rsidRPr="009A23B3">
        <w:t>Predikce sdílených daní na rok 201</w:t>
      </w:r>
      <w:bookmarkEnd w:id="29"/>
      <w:r w:rsidR="003A1C47" w:rsidRPr="009A23B3">
        <w:t>3</w:t>
      </w:r>
      <w:bookmarkEnd w:id="30"/>
    </w:p>
    <w:p w:rsidR="00404171" w:rsidRDefault="003A1C47" w:rsidP="00404171">
      <w:pPr>
        <w:jc w:val="center"/>
      </w:pPr>
      <w:r w:rsidRPr="003A1C47">
        <w:rPr>
          <w:noProof/>
        </w:rPr>
        <w:drawing>
          <wp:inline distT="0" distB="0" distL="0" distR="0">
            <wp:extent cx="4723765" cy="1789430"/>
            <wp:effectExtent l="19050" t="0" r="635" b="0"/>
            <wp:docPr id="60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3765" cy="1789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171" w:rsidRDefault="00404171" w:rsidP="00714EF8"/>
    <w:p w:rsidR="00714EF8" w:rsidRDefault="00714EF8" w:rsidP="00714EF8">
      <w:r>
        <w:t>První sloupec tabulky uvádí očekávanou skutečnost sdílených daní dle předpokládaného plnění stá</w:t>
      </w:r>
      <w:r>
        <w:t>t</w:t>
      </w:r>
      <w:r w:rsidR="00AC48ED">
        <w:t xml:space="preserve">ního rozpočtu </w:t>
      </w:r>
      <w:r w:rsidR="00AC48ED" w:rsidRPr="00850E8F">
        <w:t>2013</w:t>
      </w:r>
      <w:r w:rsidR="00AC48ED">
        <w:t xml:space="preserve">. </w:t>
      </w:r>
      <w:r w:rsidR="00AC48ED" w:rsidRPr="00850E8F">
        <w:t>D</w:t>
      </w:r>
      <w:r w:rsidRPr="00850E8F">
        <w:t xml:space="preserve">ruhý sloupec zachycuje </w:t>
      </w:r>
      <w:r w:rsidR="00AC48ED" w:rsidRPr="00850E8F">
        <w:t xml:space="preserve">konkrétní predikci pro </w:t>
      </w:r>
      <w:r w:rsidR="00F762BB" w:rsidRPr="00850E8F">
        <w:t xml:space="preserve">Statutární město Liberec - </w:t>
      </w:r>
      <w:r w:rsidR="00AC48ED" w:rsidRPr="00850E8F">
        <w:t xml:space="preserve"> </w:t>
      </w:r>
      <w:r w:rsidRPr="00850E8F">
        <w:t>pravděpodobně dosažitelný objem</w:t>
      </w:r>
      <w:r w:rsidR="00AC48ED" w:rsidRPr="00850E8F">
        <w:t xml:space="preserve"> financí plynoucí ze sdílených daní roku 201</w:t>
      </w:r>
      <w:r w:rsidR="009A23B3">
        <w:t>3</w:t>
      </w:r>
      <w:r w:rsidRPr="00850E8F">
        <w:t>. Třetí sloupec obs</w:t>
      </w:r>
      <w:r w:rsidRPr="00850E8F">
        <w:t>a</w:t>
      </w:r>
      <w:r w:rsidRPr="00850E8F">
        <w:t>huje údaje sdílených daní dle schváleného rozpočtu města. Ze srovnání druhého a třetího sloupce vidíme, že rozpočet města má nižší hodnoty než tato výchozí predikce</w:t>
      </w:r>
      <w:r w:rsidR="003A1C47" w:rsidRPr="00850E8F">
        <w:t xml:space="preserve"> (o</w:t>
      </w:r>
      <w:r w:rsidR="00850E8F" w:rsidRPr="00850E8F">
        <w:t xml:space="preserve"> 35,2 mil. Kč, tj. o</w:t>
      </w:r>
      <w:r w:rsidR="00663760" w:rsidRPr="00850E8F">
        <w:t xml:space="preserve"> </w:t>
      </w:r>
      <w:r w:rsidR="003A1C47" w:rsidRPr="00850E8F">
        <w:t>3,5</w:t>
      </w:r>
      <w:r w:rsidR="009A23B3">
        <w:t xml:space="preserve"> % oproti predikci MF ČR).</w:t>
      </w:r>
    </w:p>
    <w:p w:rsidR="00223D8B" w:rsidRPr="0069155A" w:rsidRDefault="007A1D9D" w:rsidP="00223D8B">
      <w:pPr>
        <w:pStyle w:val="Nadpis2"/>
      </w:pPr>
      <w:bookmarkStart w:id="31" w:name="_Toc374432420"/>
      <w:r w:rsidRPr="0069155A">
        <w:t>Závěry a</w:t>
      </w:r>
      <w:r w:rsidR="00DF30AF" w:rsidRPr="0069155A">
        <w:t>nalýz</w:t>
      </w:r>
      <w:r w:rsidR="00B6444B">
        <w:t>y</w:t>
      </w:r>
      <w:r w:rsidR="00223D8B" w:rsidRPr="0069155A">
        <w:t xml:space="preserve"> rozpočtu</w:t>
      </w:r>
      <w:bookmarkEnd w:id="31"/>
    </w:p>
    <w:p w:rsidR="000E4E9A" w:rsidRDefault="00B62F1B" w:rsidP="00B62F1B">
      <w:r w:rsidRPr="009B70B6">
        <w:t xml:space="preserve">Hospodaření města </w:t>
      </w:r>
      <w:r>
        <w:t>v analyzovaném období bylo</w:t>
      </w:r>
      <w:r w:rsidRPr="009B70B6">
        <w:t xml:space="preserve"> poznamenáno rokem 2009, tj. rokem ekonomické celosvětové krize. </w:t>
      </w:r>
      <w:r>
        <w:t>V tomto roce došlo k</w:t>
      </w:r>
      <w:r w:rsidRPr="009B70B6">
        <w:t xml:space="preserve"> propadu v plnění příjmů ze sdílených daní. </w:t>
      </w:r>
      <w:r>
        <w:t>V rozpočtu města dochází k významným specifickým jednorázovým i trvalým změnám v provozní části, které ovlivňují základní ukazatele hospodaření</w:t>
      </w:r>
      <w:r w:rsidR="000E4E9A">
        <w:t>, např. provozní přebytek, který ovšem dosahuje v celém sledovaném období kladných hodnot.</w:t>
      </w:r>
    </w:p>
    <w:p w:rsidR="00B62F1B" w:rsidRDefault="000E4E9A" w:rsidP="00B62F1B">
      <w:r>
        <w:t xml:space="preserve"> </w:t>
      </w:r>
    </w:p>
    <w:p w:rsidR="00B62F1B" w:rsidRDefault="00B62F1B" w:rsidP="00B62F1B">
      <w:r>
        <w:t>V</w:t>
      </w:r>
      <w:r w:rsidRPr="009B70B6">
        <w:t xml:space="preserve">lastní investiční aktivita města je příčinou </w:t>
      </w:r>
      <w:r w:rsidR="000E4E9A">
        <w:t xml:space="preserve">zadlužení a </w:t>
      </w:r>
      <w:r w:rsidRPr="009B70B6">
        <w:t xml:space="preserve">záporného salda hospodaření </w:t>
      </w:r>
      <w:r w:rsidR="000E4E9A">
        <w:t>(bez financ</w:t>
      </w:r>
      <w:r w:rsidR="000E4E9A">
        <w:t>o</w:t>
      </w:r>
      <w:r w:rsidR="000E4E9A">
        <w:t xml:space="preserve">vání) </w:t>
      </w:r>
      <w:r w:rsidRPr="009B70B6">
        <w:t>v</w:t>
      </w:r>
      <w:r>
        <w:t> letech 20</w:t>
      </w:r>
      <w:r w:rsidR="000E4E9A">
        <w:t>08, 2009, 2010 a 2012</w:t>
      </w:r>
      <w:r>
        <w:t xml:space="preserve">. </w:t>
      </w:r>
      <w:r w:rsidR="0069155A">
        <w:t>S výjimkou roku 2010 (79,65 %) se i přesto h</w:t>
      </w:r>
      <w:r w:rsidRPr="009B70B6">
        <w:t>odnot</w:t>
      </w:r>
      <w:r>
        <w:t>a ukazatele dluhové služby pohybuje v</w:t>
      </w:r>
      <w:r w:rsidR="0069155A">
        <w:t> relativně příznivých</w:t>
      </w:r>
      <w:r>
        <w:t xml:space="preserve"> hodnotách, v rozmezí </w:t>
      </w:r>
      <w:r w:rsidR="0069155A">
        <w:t>2,68 % (2008)</w:t>
      </w:r>
      <w:r>
        <w:t xml:space="preserve"> – </w:t>
      </w:r>
      <w:r w:rsidR="0069155A">
        <w:t>20,9</w:t>
      </w:r>
      <w:r>
        <w:t xml:space="preserve"> %</w:t>
      </w:r>
      <w:r w:rsidR="0069155A">
        <w:t xml:space="preserve"> (2012)</w:t>
      </w:r>
      <w:r w:rsidRPr="009B70B6">
        <w:t xml:space="preserve">. </w:t>
      </w:r>
    </w:p>
    <w:p w:rsidR="00B957AD" w:rsidRDefault="00B957AD" w:rsidP="00527EC5"/>
    <w:p w:rsidR="00527EC5" w:rsidRDefault="004F1B63" w:rsidP="00527EC5">
      <w:r w:rsidRPr="004F1B63">
        <w:t>D</w:t>
      </w:r>
      <w:r w:rsidR="009F27C4">
        <w:t>louhodobé</w:t>
      </w:r>
      <w:r w:rsidR="00527EC5" w:rsidRPr="004F1B63">
        <w:t xml:space="preserve"> pohledávky mají </w:t>
      </w:r>
      <w:r w:rsidR="00B62F1B">
        <w:t xml:space="preserve">od roku 2010 </w:t>
      </w:r>
      <w:r w:rsidR="00527EC5" w:rsidRPr="004F1B63">
        <w:t>sestupný charakter. Pohledávky klesly z</w:t>
      </w:r>
      <w:r w:rsidR="00B62F1B">
        <w:t> </w:t>
      </w:r>
      <w:r w:rsidR="00527EC5" w:rsidRPr="004F1B63">
        <w:t>hodnoty</w:t>
      </w:r>
      <w:r w:rsidR="00B62F1B">
        <w:t xml:space="preserve"> maxima</w:t>
      </w:r>
      <w:r w:rsidR="00527EC5" w:rsidRPr="004F1B63">
        <w:t xml:space="preserve"> </w:t>
      </w:r>
      <w:r w:rsidR="00B62F1B">
        <w:t>832,8 mil. Kč (</w:t>
      </w:r>
      <w:r w:rsidR="00527EC5" w:rsidRPr="004F1B63">
        <w:t>20</w:t>
      </w:r>
      <w:r w:rsidR="00B62F1B">
        <w:t>10</w:t>
      </w:r>
      <w:r w:rsidR="00527EC5" w:rsidRPr="004F1B63">
        <w:t xml:space="preserve">) na hodnotu </w:t>
      </w:r>
      <w:r w:rsidR="00B62F1B">
        <w:t>389,3 mil. Kč (</w:t>
      </w:r>
      <w:r w:rsidR="00527EC5" w:rsidRPr="004F1B63">
        <w:t xml:space="preserve">2012). Velikost </w:t>
      </w:r>
      <w:r w:rsidR="00B62F1B">
        <w:t xml:space="preserve">dlouhodobých </w:t>
      </w:r>
      <w:r w:rsidR="00527EC5" w:rsidRPr="004F1B63">
        <w:t xml:space="preserve">závazků </w:t>
      </w:r>
      <w:r w:rsidR="009F27C4">
        <w:t>má</w:t>
      </w:r>
      <w:r w:rsidR="00B62F1B">
        <w:t xml:space="preserve"> od roku 2010 stagnující</w:t>
      </w:r>
      <w:r w:rsidR="009F27C4">
        <w:t xml:space="preserve"> charak</w:t>
      </w:r>
      <w:r w:rsidR="00B62F1B">
        <w:t xml:space="preserve">ter, </w:t>
      </w:r>
      <w:r w:rsidR="009F27C4">
        <w:t xml:space="preserve">hodnota v roce 2012 činila </w:t>
      </w:r>
      <w:r w:rsidR="00B62F1B">
        <w:t>2 751,4</w:t>
      </w:r>
      <w:r w:rsidR="00527EC5" w:rsidRPr="004F1B63">
        <w:t xml:space="preserve"> mil. Kč.</w:t>
      </w:r>
      <w:r w:rsidRPr="004F1B63">
        <w:t xml:space="preserve"> Stav nesplacených úvěrů ku</w:t>
      </w:r>
      <w:r w:rsidRPr="004F1B63">
        <w:t>l</w:t>
      </w:r>
      <w:r w:rsidRPr="004F1B63">
        <w:t>minoval v roce 20</w:t>
      </w:r>
      <w:r w:rsidR="00B62F1B">
        <w:t>08</w:t>
      </w:r>
      <w:r w:rsidRPr="004F1B63">
        <w:t xml:space="preserve"> (</w:t>
      </w:r>
      <w:r w:rsidR="00B62F1B">
        <w:t>583,4 mil. Kč), o</w:t>
      </w:r>
      <w:r w:rsidRPr="004F1B63">
        <w:t xml:space="preserve">d tohoto roku hodnota nesplacených úvěrů </w:t>
      </w:r>
      <w:r w:rsidR="00B62F1B">
        <w:t xml:space="preserve">meziročně </w:t>
      </w:r>
      <w:r w:rsidRPr="004F1B63">
        <w:t>klesá</w:t>
      </w:r>
      <w:r w:rsidR="00B62F1B">
        <w:t xml:space="preserve"> na hodnotu 84,0 mil. Kč (2011)</w:t>
      </w:r>
      <w:r w:rsidRPr="004F1B63">
        <w:t xml:space="preserve">. V roce 2012 činí výše nesplacených úvěrů </w:t>
      </w:r>
      <w:r w:rsidR="00B62F1B">
        <w:t>150,0</w:t>
      </w:r>
      <w:r w:rsidRPr="004F1B63">
        <w:t xml:space="preserve"> mil. Kč.</w:t>
      </w:r>
    </w:p>
    <w:p w:rsidR="007442DE" w:rsidRDefault="007442DE">
      <w:pPr>
        <w:spacing w:line="240" w:lineRule="auto"/>
        <w:jc w:val="left"/>
        <w:rPr>
          <w:rFonts w:eastAsiaTheme="majorEastAsia" w:cs="Arial"/>
          <w:b/>
          <w:bCs/>
          <w:kern w:val="32"/>
          <w:sz w:val="36"/>
          <w:szCs w:val="32"/>
        </w:rPr>
      </w:pPr>
      <w:bookmarkStart w:id="32" w:name="_Toc368988442"/>
      <w:bookmarkStart w:id="33" w:name="_Toc372057520"/>
      <w:r>
        <w:br w:type="page"/>
      </w:r>
    </w:p>
    <w:p w:rsidR="007442DE" w:rsidRPr="0020423C" w:rsidRDefault="007442DE" w:rsidP="007442DE">
      <w:pPr>
        <w:pStyle w:val="Nadpis1"/>
        <w:pageBreakBefore w:val="0"/>
        <w:ind w:left="431" w:hanging="431"/>
        <w:rPr>
          <w:lang w:val="cs-CZ"/>
        </w:rPr>
      </w:pPr>
      <w:bookmarkStart w:id="34" w:name="_Toc374432421"/>
      <w:r w:rsidRPr="0020423C">
        <w:rPr>
          <w:lang w:val="cs-CZ"/>
        </w:rPr>
        <w:t>Rozpočtový výhled města</w:t>
      </w:r>
      <w:bookmarkEnd w:id="32"/>
      <w:bookmarkEnd w:id="33"/>
      <w:bookmarkEnd w:id="34"/>
    </w:p>
    <w:p w:rsidR="007442DE" w:rsidRPr="0020423C" w:rsidRDefault="007442DE" w:rsidP="007442DE">
      <w:r w:rsidRPr="0020423C">
        <w:t>Rozpočtový výhled je střednědobý plán, který slouží pro plánování rozvoje územních samosprávných celků. Je zpracován jako přehledný a komplexní dokument, který na základě všech dostupných i</w:t>
      </w:r>
      <w:r w:rsidRPr="0020423C">
        <w:t>n</w:t>
      </w:r>
      <w:r w:rsidRPr="0020423C">
        <w:t>formací zobrazuje vývoj příjmů a výdajů, včetně smluvně podložených investičních akcí a dluhové služby. Výhodou takto sestaveného rozpočtového výhledu je úspora času při sestavování rozpočtu, usnadnění tvorby podkladů pro žádost o úvěr nebo dotaci a v neposlední řadě informace o velikosti volných finančních prostředků využitelných na pokrytí investičních záměrů. Upozorňuje také na možná rizika při získávání nových úvěrů.</w:t>
      </w:r>
    </w:p>
    <w:p w:rsidR="007442DE" w:rsidRPr="0020423C" w:rsidRDefault="007442DE" w:rsidP="00783D08">
      <w:pPr>
        <w:pStyle w:val="Nadpis2"/>
        <w:spacing w:before="160"/>
      </w:pPr>
      <w:bookmarkStart w:id="35" w:name="_Toc368988443"/>
      <w:bookmarkStart w:id="36" w:name="_Toc372057521"/>
      <w:bookmarkStart w:id="37" w:name="_Toc374432422"/>
      <w:r w:rsidRPr="0020423C">
        <w:t>Zdroje rozpočtového výhledu</w:t>
      </w:r>
      <w:bookmarkEnd w:id="35"/>
      <w:bookmarkEnd w:id="36"/>
      <w:bookmarkEnd w:id="37"/>
      <w:r w:rsidRPr="0020423C">
        <w:t xml:space="preserve"> </w:t>
      </w:r>
    </w:p>
    <w:p w:rsidR="007442DE" w:rsidRDefault="007442DE" w:rsidP="007442DE">
      <w:pPr>
        <w:pStyle w:val="Odstavecseseznamem"/>
        <w:numPr>
          <w:ilvl w:val="0"/>
          <w:numId w:val="36"/>
        </w:numPr>
      </w:pPr>
      <w:r w:rsidRPr="00DE5242">
        <w:t>Pl</w:t>
      </w:r>
      <w:r>
        <w:t>a</w:t>
      </w:r>
      <w:r w:rsidRPr="00DE5242">
        <w:t>tný rozpočet města</w:t>
      </w:r>
      <w:r>
        <w:t xml:space="preserve"> – základní dokument, ze kterého vychází sestavený rozpočtový výhled</w:t>
      </w:r>
    </w:p>
    <w:p w:rsidR="0069155A" w:rsidRDefault="0069155A" w:rsidP="007442DE">
      <w:pPr>
        <w:pStyle w:val="Odstavecseseznamem"/>
        <w:numPr>
          <w:ilvl w:val="0"/>
          <w:numId w:val="36"/>
        </w:numPr>
      </w:pPr>
      <w:r>
        <w:t>Návrh rozpočtu na rok 2014</w:t>
      </w:r>
    </w:p>
    <w:p w:rsidR="007442DE" w:rsidRDefault="007442DE" w:rsidP="007442DE">
      <w:pPr>
        <w:pStyle w:val="Odstavecseseznamem"/>
        <w:numPr>
          <w:ilvl w:val="0"/>
          <w:numId w:val="36"/>
        </w:numPr>
      </w:pPr>
      <w:r>
        <w:t>Provedená analýza hospodaření města</w:t>
      </w:r>
    </w:p>
    <w:p w:rsidR="007442DE" w:rsidRDefault="007442DE" w:rsidP="007442DE">
      <w:pPr>
        <w:pStyle w:val="Odstavecseseznamem"/>
        <w:numPr>
          <w:ilvl w:val="0"/>
          <w:numId w:val="36"/>
        </w:numPr>
      </w:pPr>
      <w:r>
        <w:t>Střednědobý výhled státu – zejména hodnoty sdílených daní a přijaté neinvestiční transfery ze státního rozpočtu v rámci souhrnného dotačního vztahu</w:t>
      </w:r>
    </w:p>
    <w:p w:rsidR="007442DE" w:rsidRDefault="007442DE" w:rsidP="007442DE">
      <w:pPr>
        <w:pStyle w:val="Odstavecseseznamem"/>
        <w:numPr>
          <w:ilvl w:val="0"/>
          <w:numId w:val="36"/>
        </w:numPr>
      </w:pPr>
      <w:r>
        <w:t xml:space="preserve">Dluhová služba - přehled stávajících závazků </w:t>
      </w:r>
      <w:r w:rsidR="0069155A">
        <w:t>SML</w:t>
      </w:r>
      <w:r>
        <w:t>, případně plánované splátky jistin a úroků na pokrytí plánovaných investičních akcí</w:t>
      </w:r>
    </w:p>
    <w:p w:rsidR="007442DE" w:rsidRPr="0022643B" w:rsidRDefault="007442DE" w:rsidP="007442DE">
      <w:pPr>
        <w:pStyle w:val="Odstavecseseznamem"/>
        <w:numPr>
          <w:ilvl w:val="0"/>
          <w:numId w:val="36"/>
        </w:numPr>
      </w:pPr>
      <w:r w:rsidRPr="00D71202">
        <w:t>Koeficienty odpovídající potřebám, povinnostem a ekonomickému hospodaření města dle předpokládaného vývoje ekonomiky státu</w:t>
      </w:r>
    </w:p>
    <w:p w:rsidR="007442DE" w:rsidRDefault="007442DE" w:rsidP="007442DE">
      <w:pPr>
        <w:pStyle w:val="Odstavecseseznamem"/>
        <w:numPr>
          <w:ilvl w:val="0"/>
          <w:numId w:val="36"/>
        </w:numPr>
      </w:pPr>
      <w:r>
        <w:t xml:space="preserve">Konzultace s odpovědnými pracovníky městského úřadu, zejména </w:t>
      </w:r>
      <w:r w:rsidR="0069155A">
        <w:t>z</w:t>
      </w:r>
      <w:r w:rsidR="0020423C">
        <w:t> Odboru ekonomiky a majetku</w:t>
      </w:r>
    </w:p>
    <w:p w:rsidR="007442DE" w:rsidRPr="00485B72" w:rsidRDefault="007442DE" w:rsidP="00783D08">
      <w:pPr>
        <w:pStyle w:val="Nadpis2"/>
        <w:spacing w:before="160"/>
      </w:pPr>
      <w:bookmarkStart w:id="38" w:name="_Toc365276164"/>
      <w:bookmarkStart w:id="39" w:name="_Toc368988444"/>
      <w:bookmarkStart w:id="40" w:name="_Toc372057522"/>
      <w:bookmarkStart w:id="41" w:name="_Toc374432423"/>
      <w:r w:rsidRPr="00485B72">
        <w:t>Sestavený rozpočtový výhled</w:t>
      </w:r>
      <w:bookmarkEnd w:id="38"/>
      <w:bookmarkEnd w:id="39"/>
      <w:bookmarkEnd w:id="40"/>
      <w:bookmarkEnd w:id="41"/>
    </w:p>
    <w:p w:rsidR="007442DE" w:rsidRPr="00A16341" w:rsidRDefault="007442DE" w:rsidP="007442DE">
      <w:pPr>
        <w:rPr>
          <w:szCs w:val="21"/>
        </w:rPr>
      </w:pPr>
      <w:r w:rsidRPr="00A16341">
        <w:rPr>
          <w:szCs w:val="21"/>
        </w:rPr>
        <w:t xml:space="preserve">Rozpočtový výhled je sestaven s jistou mírou opatrnosti, tzn. s mírně nižšími očekávanými příjmy a trochu nadhodnocenými výdaji. Je ale postaven na reálných základech. </w:t>
      </w:r>
    </w:p>
    <w:p w:rsidR="007442DE" w:rsidRPr="00A16341" w:rsidRDefault="007442DE" w:rsidP="007442DE">
      <w:pPr>
        <w:rPr>
          <w:szCs w:val="21"/>
        </w:rPr>
      </w:pPr>
    </w:p>
    <w:p w:rsidR="00A16341" w:rsidRPr="00A16341" w:rsidRDefault="00A16341" w:rsidP="00A16341">
      <w:pPr>
        <w:rPr>
          <w:rFonts w:asciiTheme="majorHAnsi" w:hAnsiTheme="majorHAnsi"/>
          <w:szCs w:val="21"/>
        </w:rPr>
      </w:pPr>
      <w:r w:rsidRPr="00A16341">
        <w:rPr>
          <w:rFonts w:asciiTheme="majorHAnsi" w:hAnsiTheme="majorHAnsi"/>
          <w:szCs w:val="21"/>
        </w:rPr>
        <w:t>Vývoj příjmové i výdajové strany rozpočtového výhledu byl očištěn o ty částky, které souvisí s vybr</w:t>
      </w:r>
      <w:r w:rsidRPr="00A16341">
        <w:rPr>
          <w:rFonts w:asciiTheme="majorHAnsi" w:hAnsiTheme="majorHAnsi"/>
          <w:szCs w:val="21"/>
        </w:rPr>
        <w:t>a</w:t>
      </w:r>
      <w:r w:rsidRPr="00A16341">
        <w:rPr>
          <w:rFonts w:asciiTheme="majorHAnsi" w:hAnsiTheme="majorHAnsi"/>
          <w:szCs w:val="21"/>
        </w:rPr>
        <w:t xml:space="preserve">nými </w:t>
      </w:r>
      <w:r w:rsidRPr="00A16341">
        <w:rPr>
          <w:rStyle w:val="apple-style-span"/>
          <w:rFonts w:asciiTheme="majorHAnsi" w:hAnsiTheme="majorHAnsi" w:cstheme="minorHAnsi"/>
          <w:bCs/>
          <w:szCs w:val="21"/>
          <w:shd w:val="clear" w:color="auto" w:fill="FFFFFF"/>
        </w:rPr>
        <w:t xml:space="preserve">poskytnutými transfery, a to na základě účelového znaku záznamu (např.: neinvestiční přijaté transfery ze státního rozpočtu zejména na položkách 4111 a 4116, apod.). </w:t>
      </w:r>
      <w:r w:rsidRPr="00A16341">
        <w:rPr>
          <w:rFonts w:asciiTheme="majorHAnsi" w:hAnsiTheme="majorHAnsi"/>
          <w:szCs w:val="21"/>
        </w:rPr>
        <w:t>Tyto transfery nemají vzhledem ke změnám jasně definovanou strukturu a tudíž je jejich výše těžko odhadnutelná. S tím souvisí absence té části výdajové strany rozpočtu, na které jsou tyto dotace poskytovány, tj. operace se stejnými účelovými znaky (např.: výdaje na platy zaměstnanců a ostatní osobní výdaje, nákup m</w:t>
      </w:r>
      <w:r w:rsidRPr="00A16341">
        <w:rPr>
          <w:rFonts w:asciiTheme="majorHAnsi" w:hAnsiTheme="majorHAnsi"/>
          <w:szCs w:val="21"/>
        </w:rPr>
        <w:t>a</w:t>
      </w:r>
      <w:r w:rsidRPr="00A16341">
        <w:rPr>
          <w:rFonts w:asciiTheme="majorHAnsi" w:hAnsiTheme="majorHAnsi"/>
          <w:szCs w:val="21"/>
        </w:rPr>
        <w:t>teriálu a služeb, neinvestiční transfery, apod.).</w:t>
      </w:r>
    </w:p>
    <w:p w:rsidR="0055577D" w:rsidRDefault="0055577D">
      <w:pPr>
        <w:spacing w:line="240" w:lineRule="auto"/>
        <w:jc w:val="left"/>
        <w:rPr>
          <w:highlight w:val="yellow"/>
        </w:rPr>
      </w:pPr>
    </w:p>
    <w:p w:rsidR="00485B72" w:rsidRDefault="007442DE" w:rsidP="007442DE">
      <w:r w:rsidRPr="003B5CC2">
        <w:t>Při sestavování</w:t>
      </w:r>
      <w:r>
        <w:t xml:space="preserve"> rozpočtového výhledu byl využit také návrh rozpočtu </w:t>
      </w:r>
      <w:r w:rsidR="00FD6BD4">
        <w:t>SML</w:t>
      </w:r>
      <w:r>
        <w:t xml:space="preserve"> na rok 2014</w:t>
      </w:r>
      <w:r w:rsidR="00966A62">
        <w:t>, ve kterém se odráží výše zmíněná skutečnost. T</w:t>
      </w:r>
      <w:r w:rsidR="00F326E8">
        <w:t>a</w:t>
      </w:r>
      <w:r w:rsidR="00966A62">
        <w:t xml:space="preserve">to meziroční změna v objemech vybraných příjmů a výdajů však neovlivňuje rozpočtový výhled </w:t>
      </w:r>
      <w:r w:rsidR="003B5CC2">
        <w:t xml:space="preserve">oproti schválenému rozpočtu na rok 2013 </w:t>
      </w:r>
      <w:r w:rsidR="00966A62">
        <w:t xml:space="preserve">nijak zásadně, jedná se totiž o ekvivalentní změny na příjmové i výdajové straně rozpočtu v řádu milionů Kč. </w:t>
      </w:r>
      <w:r w:rsidR="00F326E8">
        <w:t>Účelové tran</w:t>
      </w:r>
      <w:r w:rsidR="00F326E8">
        <w:t>s</w:t>
      </w:r>
      <w:r w:rsidR="00F326E8">
        <w:t xml:space="preserve">fery byly navíc ve větší míře alokovány v investiční části rozpočtu, která nemá pravidelný charakter. </w:t>
      </w:r>
      <w:r w:rsidR="00966A62">
        <w:t xml:space="preserve">Na celkové objemy rozpočtu mají větší vliv </w:t>
      </w:r>
      <w:r w:rsidR="003B5CC2">
        <w:t xml:space="preserve">některé </w:t>
      </w:r>
      <w:r w:rsidR="00966A62">
        <w:t>objemově rozsáhlejší změny</w:t>
      </w:r>
      <w:r w:rsidR="00F326E8">
        <w:t xml:space="preserve"> (především v oblasti provozní)</w:t>
      </w:r>
      <w:r w:rsidR="00966A62">
        <w:t xml:space="preserve">, které jsou </w:t>
      </w:r>
      <w:r w:rsidR="00485B72">
        <w:t xml:space="preserve">specifické pro rok 2014, a </w:t>
      </w:r>
      <w:r w:rsidR="00966A62">
        <w:t xml:space="preserve">projevují </w:t>
      </w:r>
      <w:r w:rsidR="00485B72">
        <w:t xml:space="preserve">se </w:t>
      </w:r>
      <w:r w:rsidR="00966A62">
        <w:t>i v meziročních změnách (</w:t>
      </w:r>
      <w:r w:rsidR="00485B72">
        <w:t>růstu</w:t>
      </w:r>
      <w:r w:rsidR="00966A62">
        <w:t>) let 2014/2015.</w:t>
      </w:r>
      <w:r w:rsidR="00485B72">
        <w:t xml:space="preserve"> </w:t>
      </w:r>
    </w:p>
    <w:p w:rsidR="00485B72" w:rsidRDefault="00485B72" w:rsidP="007442DE"/>
    <w:p w:rsidR="00575633" w:rsidRDefault="00731CE4" w:rsidP="007442DE">
      <w:r>
        <w:t>Rozpočtový výhled vychází z těchto vybraných skutečností:</w:t>
      </w:r>
    </w:p>
    <w:p w:rsidR="00575633" w:rsidRDefault="00575633" w:rsidP="007442DE"/>
    <w:p w:rsidR="00731CE4" w:rsidRDefault="00731CE4" w:rsidP="00731CE4">
      <w:pPr>
        <w:pStyle w:val="Odstavecseseznamem"/>
        <w:numPr>
          <w:ilvl w:val="0"/>
          <w:numId w:val="40"/>
        </w:numPr>
      </w:pPr>
      <w:r>
        <w:t xml:space="preserve">Od roku 2014 by se mělo projevit zvýšení sazby poplatku </w:t>
      </w:r>
      <w:r w:rsidRPr="00BC7474">
        <w:t>za provoz systému nakládání s k</w:t>
      </w:r>
      <w:r w:rsidRPr="00BC7474">
        <w:t>o</w:t>
      </w:r>
      <w:r w:rsidRPr="00BC7474">
        <w:t>munálními odpady</w:t>
      </w:r>
      <w:r>
        <w:t>, které bylo původně plánováno již na rok 2013 (o cca 10 mil. Kč).</w:t>
      </w:r>
    </w:p>
    <w:p w:rsidR="003C2DAE" w:rsidRPr="004846A2" w:rsidRDefault="003C2DAE" w:rsidP="003C2DAE">
      <w:pPr>
        <w:pStyle w:val="Odstavecseseznamem"/>
        <w:numPr>
          <w:ilvl w:val="0"/>
          <w:numId w:val="40"/>
        </w:numPr>
        <w:rPr>
          <w:rFonts w:asciiTheme="majorHAnsi" w:hAnsiTheme="majorHAnsi" w:cstheme="minorHAnsi"/>
          <w:szCs w:val="21"/>
        </w:rPr>
      </w:pPr>
      <w:r w:rsidRPr="004846A2">
        <w:rPr>
          <w:rFonts w:asciiTheme="majorHAnsi" w:hAnsiTheme="majorHAnsi" w:cstheme="minorHAnsi"/>
          <w:szCs w:val="21"/>
        </w:rPr>
        <w:t xml:space="preserve">Příjmy z podílů na zisku a dividend </w:t>
      </w:r>
      <w:r>
        <w:rPr>
          <w:rFonts w:asciiTheme="majorHAnsi" w:hAnsiTheme="majorHAnsi" w:cstheme="minorHAnsi"/>
          <w:szCs w:val="21"/>
        </w:rPr>
        <w:t>jsou odhadovány na základě hodnot uvedených v návrhu rozpočtu na rok 2014 (15,0 mil. Kč) a dosahují výše</w:t>
      </w:r>
      <w:r w:rsidRPr="004846A2">
        <w:rPr>
          <w:rFonts w:asciiTheme="majorHAnsi" w:hAnsiTheme="majorHAnsi" w:cstheme="minorHAnsi"/>
          <w:szCs w:val="21"/>
        </w:rPr>
        <w:t xml:space="preserve"> 14,5 mil. Kč</w:t>
      </w:r>
      <w:r>
        <w:rPr>
          <w:rFonts w:asciiTheme="majorHAnsi" w:hAnsiTheme="majorHAnsi" w:cstheme="minorHAnsi"/>
          <w:szCs w:val="21"/>
        </w:rPr>
        <w:t>.</w:t>
      </w:r>
    </w:p>
    <w:p w:rsidR="003C2DAE" w:rsidRPr="004846A2" w:rsidRDefault="003C2DAE" w:rsidP="003C2DAE">
      <w:pPr>
        <w:pStyle w:val="Odstavecseseznamem"/>
        <w:numPr>
          <w:ilvl w:val="0"/>
          <w:numId w:val="40"/>
        </w:numPr>
        <w:rPr>
          <w:rFonts w:asciiTheme="majorHAnsi" w:hAnsiTheme="majorHAnsi" w:cstheme="minorHAnsi"/>
          <w:szCs w:val="21"/>
        </w:rPr>
      </w:pPr>
      <w:r w:rsidRPr="004846A2">
        <w:rPr>
          <w:rFonts w:asciiTheme="majorHAnsi" w:hAnsiTheme="majorHAnsi" w:cstheme="minorHAnsi"/>
          <w:szCs w:val="21"/>
        </w:rPr>
        <w:t xml:space="preserve">Příjmy z úroků ze státních dluhopisů </w:t>
      </w:r>
      <w:r>
        <w:rPr>
          <w:rFonts w:asciiTheme="majorHAnsi" w:hAnsiTheme="majorHAnsi" w:cstheme="minorHAnsi"/>
          <w:szCs w:val="21"/>
        </w:rPr>
        <w:t>jsou určeny obdobně a dosahují hodnoty</w:t>
      </w:r>
      <w:r w:rsidRPr="004846A2">
        <w:rPr>
          <w:rFonts w:asciiTheme="majorHAnsi" w:hAnsiTheme="majorHAnsi" w:cstheme="minorHAnsi"/>
          <w:szCs w:val="21"/>
        </w:rPr>
        <w:t xml:space="preserve"> 10,0 mil. Kč (RN 2014 – 10,0 mil. Kč)</w:t>
      </w:r>
      <w:r>
        <w:rPr>
          <w:rFonts w:asciiTheme="majorHAnsi" w:hAnsiTheme="majorHAnsi" w:cstheme="minorHAnsi"/>
          <w:szCs w:val="21"/>
        </w:rPr>
        <w:t>.</w:t>
      </w:r>
    </w:p>
    <w:p w:rsidR="003C2DAE" w:rsidRDefault="003C2DAE" w:rsidP="003C2DAE">
      <w:pPr>
        <w:pStyle w:val="Odstavecseseznamem"/>
        <w:numPr>
          <w:ilvl w:val="0"/>
          <w:numId w:val="39"/>
        </w:numPr>
        <w:spacing w:line="240" w:lineRule="auto"/>
        <w:rPr>
          <w:rFonts w:asciiTheme="majorHAnsi" w:eastAsia="Times New Roman" w:hAnsiTheme="majorHAnsi" w:cstheme="minorHAnsi"/>
          <w:color w:val="000000"/>
          <w:szCs w:val="21"/>
        </w:rPr>
      </w:pPr>
      <w:r>
        <w:rPr>
          <w:rFonts w:asciiTheme="majorHAnsi" w:eastAsia="Times New Roman" w:hAnsiTheme="majorHAnsi" w:cstheme="minorHAnsi"/>
          <w:color w:val="000000"/>
          <w:szCs w:val="21"/>
        </w:rPr>
        <w:t>V</w:t>
      </w:r>
      <w:r w:rsidRPr="004846A2">
        <w:rPr>
          <w:rFonts w:asciiTheme="majorHAnsi" w:eastAsia="Times New Roman" w:hAnsiTheme="majorHAnsi" w:cstheme="minorHAnsi"/>
          <w:color w:val="000000"/>
          <w:szCs w:val="21"/>
        </w:rPr>
        <w:t>eškeré neinvestiční půjčky a splátky jsou nulové</w:t>
      </w:r>
      <w:r>
        <w:rPr>
          <w:rFonts w:asciiTheme="majorHAnsi" w:eastAsia="Times New Roman" w:hAnsiTheme="majorHAnsi" w:cstheme="minorHAnsi"/>
          <w:color w:val="000000"/>
          <w:szCs w:val="21"/>
        </w:rPr>
        <w:t xml:space="preserve">. </w:t>
      </w:r>
      <w:r w:rsidRPr="004846A2">
        <w:rPr>
          <w:rFonts w:asciiTheme="majorHAnsi" w:eastAsia="Times New Roman" w:hAnsiTheme="majorHAnsi" w:cstheme="minorHAnsi"/>
          <w:color w:val="000000"/>
          <w:szCs w:val="21"/>
        </w:rPr>
        <w:t>Splátky půjčených prostředků od podnik</w:t>
      </w:r>
      <w:r w:rsidRPr="004846A2">
        <w:rPr>
          <w:rFonts w:asciiTheme="majorHAnsi" w:eastAsia="Times New Roman" w:hAnsiTheme="majorHAnsi" w:cstheme="minorHAnsi"/>
          <w:color w:val="000000"/>
          <w:szCs w:val="21"/>
        </w:rPr>
        <w:t>a</w:t>
      </w:r>
      <w:r w:rsidRPr="004846A2">
        <w:rPr>
          <w:rFonts w:asciiTheme="majorHAnsi" w:eastAsia="Times New Roman" w:hAnsiTheme="majorHAnsi" w:cstheme="minorHAnsi"/>
          <w:color w:val="000000"/>
          <w:szCs w:val="21"/>
        </w:rPr>
        <w:t>telských</w:t>
      </w:r>
      <w:r>
        <w:rPr>
          <w:rFonts w:asciiTheme="majorHAnsi" w:eastAsia="Times New Roman" w:hAnsiTheme="majorHAnsi" w:cstheme="minorHAnsi"/>
          <w:color w:val="000000"/>
          <w:szCs w:val="21"/>
        </w:rPr>
        <w:t xml:space="preserve"> nefinančních</w:t>
      </w:r>
      <w:r w:rsidRPr="004846A2">
        <w:rPr>
          <w:rFonts w:asciiTheme="majorHAnsi" w:eastAsia="Times New Roman" w:hAnsiTheme="majorHAnsi" w:cstheme="minorHAnsi"/>
          <w:color w:val="000000"/>
          <w:szCs w:val="21"/>
        </w:rPr>
        <w:t xml:space="preserve"> subjektů – právnických o</w:t>
      </w:r>
      <w:r>
        <w:rPr>
          <w:rFonts w:asciiTheme="majorHAnsi" w:eastAsia="Times New Roman" w:hAnsiTheme="majorHAnsi" w:cstheme="minorHAnsi"/>
          <w:color w:val="000000"/>
          <w:szCs w:val="21"/>
        </w:rPr>
        <w:t>sob jsou v návrhu rozpočtu na rok 2014 ve výši 37,4 mil. Kč.</w:t>
      </w:r>
    </w:p>
    <w:p w:rsidR="00926C7A" w:rsidRPr="00926C7A" w:rsidRDefault="004F3097" w:rsidP="003C2DAE">
      <w:pPr>
        <w:pStyle w:val="Odstavecseseznamem"/>
        <w:numPr>
          <w:ilvl w:val="0"/>
          <w:numId w:val="39"/>
        </w:numPr>
        <w:spacing w:line="240" w:lineRule="auto"/>
        <w:rPr>
          <w:rFonts w:asciiTheme="majorHAnsi" w:eastAsia="Times New Roman" w:hAnsiTheme="majorHAnsi" w:cstheme="minorHAnsi"/>
          <w:color w:val="000000"/>
          <w:szCs w:val="21"/>
        </w:rPr>
      </w:pPr>
      <w:r w:rsidRPr="00926C7A">
        <w:rPr>
          <w:rFonts w:asciiTheme="majorHAnsi" w:eastAsia="Times New Roman" w:hAnsiTheme="majorHAnsi" w:cstheme="minorHAnsi"/>
          <w:color w:val="000000"/>
          <w:szCs w:val="21"/>
        </w:rPr>
        <w:t>Návrh rozpočtu na rok 2014 nep</w:t>
      </w:r>
      <w:r w:rsidR="003C2DAE" w:rsidRPr="00926C7A">
        <w:rPr>
          <w:rFonts w:asciiTheme="majorHAnsi" w:eastAsia="Times New Roman" w:hAnsiTheme="majorHAnsi" w:cstheme="minorHAnsi"/>
          <w:color w:val="000000"/>
          <w:szCs w:val="21"/>
        </w:rPr>
        <w:t>očítá s příjmy z prodeje majetku</w:t>
      </w:r>
      <w:r w:rsidRPr="00926C7A">
        <w:rPr>
          <w:rFonts w:asciiTheme="majorHAnsi" w:eastAsia="Times New Roman" w:hAnsiTheme="majorHAnsi" w:cstheme="minorHAnsi"/>
          <w:color w:val="000000"/>
          <w:szCs w:val="21"/>
        </w:rPr>
        <w:t xml:space="preserve"> města</w:t>
      </w:r>
      <w:r w:rsidR="003C2DAE" w:rsidRPr="00926C7A">
        <w:rPr>
          <w:rFonts w:asciiTheme="majorHAnsi" w:eastAsia="Times New Roman" w:hAnsiTheme="majorHAnsi" w:cstheme="minorHAnsi"/>
          <w:color w:val="000000"/>
          <w:szCs w:val="21"/>
        </w:rPr>
        <w:t xml:space="preserve">, od roku 2015 </w:t>
      </w:r>
      <w:r w:rsidRPr="00926C7A">
        <w:rPr>
          <w:rFonts w:asciiTheme="majorHAnsi" w:eastAsia="Times New Roman" w:hAnsiTheme="majorHAnsi" w:cstheme="minorHAnsi"/>
          <w:color w:val="000000"/>
          <w:szCs w:val="21"/>
        </w:rPr>
        <w:t xml:space="preserve">jsou </w:t>
      </w:r>
      <w:r w:rsidR="003C2DAE" w:rsidRPr="00926C7A">
        <w:rPr>
          <w:rFonts w:asciiTheme="majorHAnsi" w:eastAsia="Times New Roman" w:hAnsiTheme="majorHAnsi" w:cstheme="minorHAnsi"/>
          <w:color w:val="000000"/>
          <w:szCs w:val="21"/>
        </w:rPr>
        <w:t xml:space="preserve">pak </w:t>
      </w:r>
      <w:r w:rsidRPr="00926C7A">
        <w:rPr>
          <w:rFonts w:asciiTheme="majorHAnsi" w:eastAsia="Times New Roman" w:hAnsiTheme="majorHAnsi" w:cstheme="minorHAnsi"/>
          <w:color w:val="000000"/>
          <w:szCs w:val="21"/>
        </w:rPr>
        <w:t xml:space="preserve">tyto příjmy ve výši </w:t>
      </w:r>
      <w:r w:rsidR="003C2DAE" w:rsidRPr="00926C7A">
        <w:rPr>
          <w:rFonts w:asciiTheme="majorHAnsi" w:eastAsia="Times New Roman" w:hAnsiTheme="majorHAnsi" w:cstheme="minorHAnsi"/>
          <w:color w:val="000000"/>
          <w:szCs w:val="21"/>
        </w:rPr>
        <w:t>10,0 mil. Kč</w:t>
      </w:r>
      <w:r w:rsidR="00926C7A">
        <w:rPr>
          <w:rFonts w:asciiTheme="majorHAnsi" w:eastAsia="Times New Roman" w:hAnsiTheme="majorHAnsi" w:cstheme="minorHAnsi"/>
          <w:color w:val="000000"/>
          <w:szCs w:val="21"/>
        </w:rPr>
        <w:t xml:space="preserve"> ročně</w:t>
      </w:r>
      <w:r w:rsidRPr="00926C7A">
        <w:rPr>
          <w:rFonts w:asciiTheme="majorHAnsi" w:eastAsia="Times New Roman" w:hAnsiTheme="majorHAnsi" w:cstheme="minorHAnsi"/>
          <w:color w:val="000000"/>
          <w:szCs w:val="21"/>
        </w:rPr>
        <w:t xml:space="preserve"> (prodej pozemků a ostatních nemovitostí)</w:t>
      </w:r>
      <w:r w:rsidR="003C2DAE" w:rsidRPr="00926C7A">
        <w:rPr>
          <w:rFonts w:asciiTheme="majorHAnsi" w:eastAsia="Times New Roman" w:hAnsiTheme="majorHAnsi" w:cstheme="minorHAnsi"/>
          <w:color w:val="000000"/>
          <w:szCs w:val="21"/>
        </w:rPr>
        <w:t>.</w:t>
      </w:r>
    </w:p>
    <w:p w:rsidR="003C2DAE" w:rsidRPr="00926C7A" w:rsidRDefault="003C2DAE" w:rsidP="003C2DAE">
      <w:pPr>
        <w:pStyle w:val="Odstavecseseznamem"/>
        <w:numPr>
          <w:ilvl w:val="0"/>
          <w:numId w:val="39"/>
        </w:numPr>
        <w:spacing w:line="240" w:lineRule="auto"/>
        <w:rPr>
          <w:rFonts w:asciiTheme="majorHAnsi" w:eastAsia="Times New Roman" w:hAnsiTheme="majorHAnsi" w:cstheme="minorHAnsi"/>
          <w:color w:val="000000"/>
          <w:szCs w:val="21"/>
        </w:rPr>
      </w:pPr>
      <w:r w:rsidRPr="00926C7A">
        <w:rPr>
          <w:rFonts w:asciiTheme="majorHAnsi" w:eastAsia="Times New Roman" w:hAnsiTheme="majorHAnsi" w:cstheme="minorHAnsi"/>
          <w:color w:val="000000"/>
          <w:szCs w:val="21"/>
        </w:rPr>
        <w:t>Převody z vlastních fondů hospodářské (podnikatelské) činnosti jsou odhadovány ve výši 14,0 mil. Kč (RN 2014 – 14,9 mil. Kč)</w:t>
      </w:r>
    </w:p>
    <w:p w:rsidR="00835C1F" w:rsidRDefault="00835C1F" w:rsidP="00575633">
      <w:pPr>
        <w:pStyle w:val="Odstavecseseznamem"/>
        <w:numPr>
          <w:ilvl w:val="0"/>
          <w:numId w:val="39"/>
        </w:numPr>
      </w:pPr>
      <w:r>
        <w:t>R</w:t>
      </w:r>
      <w:r w:rsidR="00575633">
        <w:t>V</w:t>
      </w:r>
      <w:r>
        <w:t xml:space="preserve"> dále počítá s nižšími </w:t>
      </w:r>
      <w:r w:rsidR="00731CE4">
        <w:t>výdaji</w:t>
      </w:r>
      <w:r>
        <w:t xml:space="preserve"> na opravy a údržbu majetku města (o 59,5 mil. Kč). Meziroční pokles těchto výdajů je způsoben nezahrnutím výdajů na jednorázové akce, které mají ch</w:t>
      </w:r>
      <w:r>
        <w:t>a</w:t>
      </w:r>
      <w:r>
        <w:t xml:space="preserve">rakteru investičních výdajů a nejsou </w:t>
      </w:r>
      <w:r w:rsidR="00575633">
        <w:t xml:space="preserve">dosud </w:t>
      </w:r>
      <w:r>
        <w:t>naplánovány.</w:t>
      </w:r>
    </w:p>
    <w:p w:rsidR="003C2DAE" w:rsidRDefault="003C2DAE" w:rsidP="003C2DAE">
      <w:pPr>
        <w:pStyle w:val="Odstavecseseznamem"/>
        <w:numPr>
          <w:ilvl w:val="0"/>
          <w:numId w:val="39"/>
        </w:numPr>
      </w:pPr>
      <w:r>
        <w:t>V jednotlivých letech rozpočtového výhledu (2015 - 2018) nejsou zahrnuty nespecifikované rezervy, které jsou v návrhu rozpočtu na rok 2014 ve výši 35,4 mil. Kč.</w:t>
      </w:r>
    </w:p>
    <w:p w:rsidR="003C2DAE" w:rsidRDefault="003C2DAE" w:rsidP="00575633">
      <w:pPr>
        <w:pStyle w:val="Odstavecseseznamem"/>
        <w:numPr>
          <w:ilvl w:val="0"/>
          <w:numId w:val="39"/>
        </w:numPr>
      </w:pPr>
      <w:r>
        <w:t>Kapitálové výdaje jsou rozpočtovány v roce 2014 ve výši 205,6 mil. Kč, od roku 2015</w:t>
      </w:r>
      <w:r w:rsidR="003C6875">
        <w:t xml:space="preserve"> ve výši 30 mil. Kč</w:t>
      </w:r>
    </w:p>
    <w:p w:rsidR="003C6875" w:rsidRDefault="003C6875" w:rsidP="003C6875"/>
    <w:p w:rsidR="003C6875" w:rsidRDefault="003C6875" w:rsidP="003C6875">
      <w:r>
        <w:t xml:space="preserve">Některé ukazatele či </w:t>
      </w:r>
      <w:r w:rsidRPr="00F12FDC">
        <w:t xml:space="preserve">celkové objemy </w:t>
      </w:r>
      <w:r>
        <w:t>mohou v meziročním porovnání 2013/2014 navodit dojem</w:t>
      </w:r>
      <w:r w:rsidRPr="00F12FDC">
        <w:t xml:space="preserve"> </w:t>
      </w:r>
      <w:r>
        <w:t>v</w:t>
      </w:r>
      <w:r>
        <w:t>ý</w:t>
      </w:r>
      <w:r>
        <w:t xml:space="preserve">razně </w:t>
      </w:r>
      <w:r w:rsidRPr="00F12FDC">
        <w:t>zhorše</w:t>
      </w:r>
      <w:r>
        <w:t xml:space="preserve">ného hospodaření, ale </w:t>
      </w:r>
      <w:r w:rsidRPr="00F12FDC">
        <w:t xml:space="preserve">to je způsobeno především </w:t>
      </w:r>
      <w:r>
        <w:t>specifickými hodnotami návrhu rozpočtu na rok 2014.</w:t>
      </w:r>
      <w:r w:rsidR="00485B72">
        <w:t xml:space="preserve"> Stejně tak</w:t>
      </w:r>
      <w:r>
        <w:t xml:space="preserve"> zřetelné meziroční zlepšení ukazatelů (2014/2015)</w:t>
      </w:r>
      <w:r w:rsidR="00485B72">
        <w:t xml:space="preserve"> je způsobeno zejména změnami splátek půjček, výdajů na opravy a údržbu a nespecifikovanými rezervami. </w:t>
      </w:r>
    </w:p>
    <w:p w:rsidR="007442DE" w:rsidRPr="00AE5AF8" w:rsidRDefault="007442DE" w:rsidP="007442DE">
      <w:pPr>
        <w:pStyle w:val="Titulek"/>
        <w:keepNext/>
      </w:pPr>
      <w:bookmarkStart w:id="42" w:name="_Toc365274726"/>
      <w:bookmarkStart w:id="43" w:name="_Toc368988412"/>
      <w:bookmarkStart w:id="44" w:name="_Toc372056183"/>
      <w:bookmarkStart w:id="45" w:name="_Toc374432398"/>
      <w:r w:rsidRPr="007A556D">
        <w:t xml:space="preserve">Tabulka č. </w:t>
      </w:r>
      <w:r w:rsidR="00902CF0" w:rsidRPr="007A556D">
        <w:fldChar w:fldCharType="begin"/>
      </w:r>
      <w:r w:rsidR="0052152F" w:rsidRPr="007A556D">
        <w:instrText xml:space="preserve"> SEQ Tabulka \* ARABIC </w:instrText>
      </w:r>
      <w:r w:rsidR="00902CF0" w:rsidRPr="007A556D">
        <w:fldChar w:fldCharType="separate"/>
      </w:r>
      <w:r w:rsidRPr="007A556D">
        <w:rPr>
          <w:noProof/>
        </w:rPr>
        <w:t>4</w:t>
      </w:r>
      <w:r w:rsidR="00902CF0" w:rsidRPr="007A556D">
        <w:fldChar w:fldCharType="end"/>
      </w:r>
      <w:r w:rsidRPr="007A556D">
        <w:t xml:space="preserve">: </w:t>
      </w:r>
      <w:r w:rsidRPr="007A556D">
        <w:tab/>
        <w:t>Kumulovaný rozpočtový výhled</w:t>
      </w:r>
      <w:bookmarkEnd w:id="42"/>
      <w:bookmarkEnd w:id="43"/>
      <w:bookmarkEnd w:id="44"/>
      <w:bookmarkEnd w:id="45"/>
    </w:p>
    <w:p w:rsidR="007442DE" w:rsidRPr="007254FF" w:rsidRDefault="007A556D" w:rsidP="007442DE">
      <w:pPr>
        <w:jc w:val="center"/>
      </w:pPr>
      <w:r w:rsidRPr="007A556D">
        <w:rPr>
          <w:noProof/>
        </w:rPr>
        <w:drawing>
          <wp:inline distT="0" distB="0" distL="0" distR="0">
            <wp:extent cx="5760720" cy="3455831"/>
            <wp:effectExtent l="19050" t="0" r="0" b="0"/>
            <wp:docPr id="20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5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2DE" w:rsidRDefault="007442DE" w:rsidP="007442DE">
      <w:r w:rsidRPr="00F327A2">
        <w:t>Z vytvořeného rozpoč</w:t>
      </w:r>
      <w:r>
        <w:t>tového výhledu, který zobrazuje</w:t>
      </w:r>
      <w:r w:rsidRPr="00F327A2">
        <w:t xml:space="preserve"> tabulka kumulovaného výhledu</w:t>
      </w:r>
      <w:r>
        <w:t>,</w:t>
      </w:r>
      <w:r w:rsidRPr="00F327A2">
        <w:t xml:space="preserve"> vyplývá, že rozpočtový výhled je postaven na následujících faktech:</w:t>
      </w:r>
    </w:p>
    <w:p w:rsidR="007442DE" w:rsidRDefault="007442DE" w:rsidP="007442DE"/>
    <w:p w:rsidR="007442DE" w:rsidRPr="004978C9" w:rsidRDefault="007442DE" w:rsidP="007442DE">
      <w:pPr>
        <w:pStyle w:val="Odstavecseseznamem"/>
        <w:numPr>
          <w:ilvl w:val="0"/>
          <w:numId w:val="30"/>
        </w:numPr>
        <w:rPr>
          <w:rFonts w:asciiTheme="majorHAnsi" w:hAnsiTheme="majorHAnsi" w:cstheme="minorHAnsi"/>
        </w:rPr>
      </w:pPr>
      <w:r w:rsidRPr="004978C9">
        <w:rPr>
          <w:rFonts w:asciiTheme="majorHAnsi" w:hAnsiTheme="majorHAnsi" w:cstheme="minorHAnsi"/>
        </w:rPr>
        <w:t xml:space="preserve">Příjmy ze sdílených </w:t>
      </w:r>
      <w:r w:rsidRPr="004978C9">
        <w:rPr>
          <w:rFonts w:asciiTheme="majorHAnsi" w:hAnsiTheme="majorHAnsi" w:cstheme="minorHAnsi"/>
          <w:szCs w:val="21"/>
        </w:rPr>
        <w:t xml:space="preserve">daní rostou </w:t>
      </w:r>
      <w:r w:rsidR="004978C9" w:rsidRPr="004978C9">
        <w:rPr>
          <w:rFonts w:asciiTheme="majorHAnsi" w:hAnsiTheme="majorHAnsi" w:cstheme="minorHAnsi"/>
          <w:szCs w:val="21"/>
        </w:rPr>
        <w:t xml:space="preserve">i </w:t>
      </w:r>
      <w:r w:rsidRPr="004978C9">
        <w:rPr>
          <w:rFonts w:asciiTheme="majorHAnsi" w:hAnsiTheme="majorHAnsi" w:cstheme="minorHAnsi"/>
          <w:szCs w:val="21"/>
        </w:rPr>
        <w:t xml:space="preserve">díky novele zákona č. 243/2000 Sb., o rozpočtovém určení daní. Výnosy z těchto daní jsou určeny předpokládaným vývojem </w:t>
      </w:r>
      <w:r w:rsidRPr="004D27F8">
        <w:rPr>
          <w:rFonts w:asciiTheme="majorHAnsi" w:hAnsiTheme="majorHAnsi" w:cstheme="minorHAnsi"/>
          <w:szCs w:val="21"/>
        </w:rPr>
        <w:t>na základě</w:t>
      </w:r>
      <w:r w:rsidR="004D27F8" w:rsidRPr="004D27F8">
        <w:rPr>
          <w:rFonts w:asciiTheme="majorHAnsi" w:hAnsiTheme="majorHAnsi" w:cstheme="minorHAnsi"/>
          <w:szCs w:val="21"/>
        </w:rPr>
        <w:t xml:space="preserve"> návrhu státního rozpočtu na rok 2014</w:t>
      </w:r>
      <w:r w:rsidR="004D27F8">
        <w:rPr>
          <w:rFonts w:asciiTheme="majorHAnsi" w:hAnsiTheme="majorHAnsi" w:cstheme="minorHAnsi"/>
          <w:szCs w:val="21"/>
        </w:rPr>
        <w:t>,</w:t>
      </w:r>
      <w:r w:rsidR="004D27F8" w:rsidRPr="004978C9">
        <w:rPr>
          <w:rFonts w:asciiTheme="majorHAnsi" w:hAnsiTheme="majorHAnsi" w:cstheme="minorHAnsi"/>
          <w:szCs w:val="21"/>
        </w:rPr>
        <w:t xml:space="preserve"> </w:t>
      </w:r>
      <w:r w:rsidRPr="004978C9">
        <w:rPr>
          <w:rFonts w:asciiTheme="majorHAnsi" w:hAnsiTheme="majorHAnsi" w:cstheme="minorHAnsi"/>
          <w:szCs w:val="21"/>
        </w:rPr>
        <w:t>střednědobého výhledu státu na roky 201</w:t>
      </w:r>
      <w:r w:rsidR="004D27F8">
        <w:rPr>
          <w:rFonts w:asciiTheme="majorHAnsi" w:hAnsiTheme="majorHAnsi" w:cstheme="minorHAnsi"/>
          <w:szCs w:val="21"/>
        </w:rPr>
        <w:t>5</w:t>
      </w:r>
      <w:r w:rsidRPr="004978C9">
        <w:rPr>
          <w:rFonts w:asciiTheme="majorHAnsi" w:hAnsiTheme="majorHAnsi" w:cstheme="minorHAnsi"/>
          <w:szCs w:val="21"/>
        </w:rPr>
        <w:t xml:space="preserve"> – 201</w:t>
      </w:r>
      <w:r w:rsidR="004D27F8">
        <w:rPr>
          <w:rFonts w:asciiTheme="majorHAnsi" w:hAnsiTheme="majorHAnsi" w:cstheme="minorHAnsi"/>
          <w:szCs w:val="21"/>
        </w:rPr>
        <w:t>6</w:t>
      </w:r>
      <w:r w:rsidR="004978C9" w:rsidRPr="004978C9">
        <w:rPr>
          <w:rFonts w:asciiTheme="majorHAnsi" w:hAnsiTheme="majorHAnsi" w:cstheme="minorHAnsi"/>
          <w:szCs w:val="21"/>
        </w:rPr>
        <w:t xml:space="preserve"> </w:t>
      </w:r>
      <w:r w:rsidRPr="004978C9">
        <w:rPr>
          <w:rFonts w:asciiTheme="majorHAnsi" w:hAnsiTheme="majorHAnsi" w:cstheme="minorHAnsi"/>
          <w:szCs w:val="21"/>
        </w:rPr>
        <w:t>a následnou pr</w:t>
      </w:r>
      <w:r w:rsidRPr="004978C9">
        <w:rPr>
          <w:rFonts w:asciiTheme="majorHAnsi" w:hAnsiTheme="majorHAnsi" w:cstheme="minorHAnsi"/>
          <w:szCs w:val="21"/>
        </w:rPr>
        <w:t>e</w:t>
      </w:r>
      <w:r w:rsidRPr="004978C9">
        <w:rPr>
          <w:rFonts w:asciiTheme="majorHAnsi" w:hAnsiTheme="majorHAnsi" w:cstheme="minorHAnsi"/>
          <w:szCs w:val="21"/>
        </w:rPr>
        <w:t xml:space="preserve">dikcí do roku 2018. Nárůst sdílených daní od roku 2013 do konce výhledového období je </w:t>
      </w:r>
      <w:r w:rsidR="004978C9" w:rsidRPr="004978C9">
        <w:rPr>
          <w:rFonts w:asciiTheme="majorHAnsi" w:hAnsiTheme="majorHAnsi" w:cstheme="minorHAnsi"/>
          <w:szCs w:val="21"/>
        </w:rPr>
        <w:t>124,0</w:t>
      </w:r>
      <w:r w:rsidR="004978C9">
        <w:rPr>
          <w:rFonts w:asciiTheme="majorHAnsi" w:hAnsiTheme="majorHAnsi" w:cstheme="minorHAnsi"/>
          <w:szCs w:val="21"/>
        </w:rPr>
        <w:t xml:space="preserve"> </w:t>
      </w:r>
      <w:r w:rsidRPr="004978C9">
        <w:rPr>
          <w:rFonts w:asciiTheme="majorHAnsi" w:hAnsiTheme="majorHAnsi" w:cstheme="minorHAnsi"/>
          <w:szCs w:val="21"/>
        </w:rPr>
        <w:t xml:space="preserve">mil. Kč, tj. </w:t>
      </w:r>
      <w:r w:rsidR="004B349E" w:rsidRPr="004978C9">
        <w:rPr>
          <w:rFonts w:asciiTheme="majorHAnsi" w:hAnsiTheme="majorHAnsi" w:cstheme="minorHAnsi"/>
          <w:szCs w:val="21"/>
        </w:rPr>
        <w:t>1</w:t>
      </w:r>
      <w:r w:rsidR="004978C9">
        <w:rPr>
          <w:rFonts w:asciiTheme="majorHAnsi" w:hAnsiTheme="majorHAnsi" w:cstheme="minorHAnsi"/>
          <w:szCs w:val="21"/>
        </w:rPr>
        <w:t>3,4</w:t>
      </w:r>
      <w:r w:rsidRPr="004978C9">
        <w:rPr>
          <w:rFonts w:asciiTheme="majorHAnsi" w:hAnsiTheme="majorHAnsi" w:cstheme="minorHAnsi"/>
          <w:szCs w:val="21"/>
        </w:rPr>
        <w:t xml:space="preserve"> %.</w:t>
      </w:r>
    </w:p>
    <w:p w:rsidR="007442DE" w:rsidRPr="004978C9" w:rsidRDefault="007442DE" w:rsidP="007442DE">
      <w:pPr>
        <w:pStyle w:val="Odstavecseseznamem"/>
        <w:numPr>
          <w:ilvl w:val="0"/>
          <w:numId w:val="30"/>
        </w:numPr>
        <w:rPr>
          <w:rFonts w:asciiTheme="majorHAnsi" w:hAnsiTheme="majorHAnsi" w:cstheme="minorHAnsi"/>
        </w:rPr>
      </w:pPr>
      <w:r w:rsidRPr="004978C9">
        <w:rPr>
          <w:rFonts w:asciiTheme="majorHAnsi" w:hAnsiTheme="majorHAnsi" w:cstheme="minorHAnsi"/>
        </w:rPr>
        <w:t xml:space="preserve">Provozní přebytek nabývá ve všech letech rozpočtového výhledu kladné hodnoty a od roku 2013 do roku 2018 vykazuje </w:t>
      </w:r>
      <w:r w:rsidR="004978C9">
        <w:rPr>
          <w:rFonts w:asciiTheme="majorHAnsi" w:hAnsiTheme="majorHAnsi" w:cstheme="minorHAnsi"/>
        </w:rPr>
        <w:t>pokles</w:t>
      </w:r>
      <w:r w:rsidRPr="004978C9">
        <w:rPr>
          <w:rFonts w:asciiTheme="majorHAnsi" w:hAnsiTheme="majorHAnsi" w:cstheme="minorHAnsi"/>
        </w:rPr>
        <w:t xml:space="preserve"> </w:t>
      </w:r>
      <w:r w:rsidR="004B349E" w:rsidRPr="004978C9">
        <w:rPr>
          <w:rFonts w:asciiTheme="majorHAnsi" w:hAnsiTheme="majorHAnsi" w:cstheme="minorHAnsi"/>
        </w:rPr>
        <w:t>2</w:t>
      </w:r>
      <w:r w:rsidR="004978C9">
        <w:rPr>
          <w:rFonts w:asciiTheme="majorHAnsi" w:hAnsiTheme="majorHAnsi" w:cstheme="minorHAnsi"/>
        </w:rPr>
        <w:t>8,2</w:t>
      </w:r>
      <w:r w:rsidR="001C4DA0">
        <w:rPr>
          <w:rFonts w:asciiTheme="majorHAnsi" w:hAnsiTheme="majorHAnsi" w:cstheme="minorHAnsi"/>
        </w:rPr>
        <w:t xml:space="preserve"> mil. K</w:t>
      </w:r>
      <w:r w:rsidR="00EF1B78">
        <w:rPr>
          <w:rFonts w:asciiTheme="majorHAnsi" w:hAnsiTheme="majorHAnsi" w:cstheme="minorHAnsi"/>
        </w:rPr>
        <w:t>č</w:t>
      </w:r>
      <w:r w:rsidR="001C4DA0">
        <w:rPr>
          <w:rFonts w:asciiTheme="majorHAnsi" w:hAnsiTheme="majorHAnsi" w:cstheme="minorHAnsi"/>
        </w:rPr>
        <w:t>, což je důsledek vývoje v oblasti provozních výdajů</w:t>
      </w:r>
      <w:r w:rsidRPr="004978C9">
        <w:rPr>
          <w:rFonts w:asciiTheme="majorHAnsi" w:hAnsiTheme="majorHAnsi" w:cstheme="minorHAnsi"/>
        </w:rPr>
        <w:t>.</w:t>
      </w:r>
    </w:p>
    <w:p w:rsidR="007442DE" w:rsidRPr="004978C9" w:rsidRDefault="001C4DA0" w:rsidP="007442DE">
      <w:pPr>
        <w:pStyle w:val="Odstavecseseznamem"/>
        <w:numPr>
          <w:ilvl w:val="0"/>
          <w:numId w:val="30"/>
        </w:numPr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Z téhož důvodu také </w:t>
      </w:r>
      <w:r w:rsidR="007442DE" w:rsidRPr="004978C9">
        <w:rPr>
          <w:rFonts w:asciiTheme="majorHAnsi" w:hAnsiTheme="majorHAnsi" w:cstheme="minorHAnsi"/>
        </w:rPr>
        <w:t xml:space="preserve">index provozních úspor </w:t>
      </w:r>
      <w:r>
        <w:rPr>
          <w:rFonts w:asciiTheme="majorHAnsi" w:hAnsiTheme="majorHAnsi" w:cstheme="minorHAnsi"/>
        </w:rPr>
        <w:t>na konci rozpočtového výhledu nabývá nižších hodnot oproti roku 2013, a to</w:t>
      </w:r>
      <w:r w:rsidR="007442DE" w:rsidRPr="004978C9">
        <w:rPr>
          <w:rFonts w:asciiTheme="majorHAnsi" w:hAnsiTheme="majorHAnsi" w:cstheme="minorHAnsi"/>
        </w:rPr>
        <w:t xml:space="preserve"> </w:t>
      </w:r>
      <w:r>
        <w:rPr>
          <w:rFonts w:asciiTheme="majorHAnsi" w:hAnsiTheme="majorHAnsi" w:cstheme="minorHAnsi"/>
        </w:rPr>
        <w:t>12,95</w:t>
      </w:r>
      <w:r w:rsidR="007442DE" w:rsidRPr="004978C9">
        <w:rPr>
          <w:rFonts w:asciiTheme="majorHAnsi" w:hAnsiTheme="majorHAnsi" w:cstheme="minorHAnsi"/>
        </w:rPr>
        <w:t xml:space="preserve"> %.</w:t>
      </w:r>
    </w:p>
    <w:p w:rsidR="007442DE" w:rsidRPr="006A07F7" w:rsidRDefault="007442DE" w:rsidP="007442DE">
      <w:pPr>
        <w:pStyle w:val="Odstavecseseznamem"/>
        <w:numPr>
          <w:ilvl w:val="0"/>
          <w:numId w:val="30"/>
        </w:numPr>
        <w:rPr>
          <w:rFonts w:asciiTheme="majorHAnsi" w:hAnsiTheme="majorHAnsi"/>
        </w:rPr>
      </w:pPr>
      <w:r w:rsidRPr="006A07F7">
        <w:rPr>
          <w:rFonts w:asciiTheme="majorHAnsi" w:hAnsiTheme="majorHAnsi" w:cstheme="minorHAnsi"/>
        </w:rPr>
        <w:t>V období rozpočtového</w:t>
      </w:r>
      <w:r w:rsidR="001C4DA0" w:rsidRPr="006A07F7">
        <w:rPr>
          <w:rFonts w:asciiTheme="majorHAnsi" w:hAnsiTheme="majorHAnsi"/>
        </w:rPr>
        <w:t xml:space="preserve"> výhledu 2015</w:t>
      </w:r>
      <w:r w:rsidRPr="006A07F7">
        <w:rPr>
          <w:rFonts w:asciiTheme="majorHAnsi" w:hAnsiTheme="majorHAnsi"/>
        </w:rPr>
        <w:t xml:space="preserve"> – 2018 se počítá s prodejem dlouhodobého majetku</w:t>
      </w:r>
      <w:r w:rsidR="004B349E" w:rsidRPr="006A07F7">
        <w:rPr>
          <w:rFonts w:asciiTheme="majorHAnsi" w:hAnsiTheme="majorHAnsi"/>
        </w:rPr>
        <w:t xml:space="preserve"> (</w:t>
      </w:r>
      <w:r w:rsidR="001C4DA0" w:rsidRPr="006A07F7">
        <w:rPr>
          <w:rFonts w:asciiTheme="majorHAnsi" w:hAnsiTheme="majorHAnsi"/>
        </w:rPr>
        <w:t>pozemků</w:t>
      </w:r>
      <w:r w:rsidR="004F3097" w:rsidRPr="006A07F7">
        <w:rPr>
          <w:rFonts w:asciiTheme="majorHAnsi" w:hAnsiTheme="majorHAnsi"/>
        </w:rPr>
        <w:t xml:space="preserve"> a ostatních nemovitostí</w:t>
      </w:r>
      <w:r w:rsidR="004B349E" w:rsidRPr="006A07F7">
        <w:rPr>
          <w:rFonts w:asciiTheme="majorHAnsi" w:hAnsiTheme="majorHAnsi"/>
        </w:rPr>
        <w:t xml:space="preserve">), a to </w:t>
      </w:r>
      <w:r w:rsidR="00926C7A" w:rsidRPr="006A07F7">
        <w:rPr>
          <w:rFonts w:asciiTheme="majorHAnsi" w:hAnsiTheme="majorHAnsi"/>
        </w:rPr>
        <w:t xml:space="preserve">každoročně </w:t>
      </w:r>
      <w:r w:rsidR="004B349E" w:rsidRPr="006A07F7">
        <w:rPr>
          <w:rFonts w:asciiTheme="majorHAnsi" w:hAnsiTheme="majorHAnsi"/>
        </w:rPr>
        <w:t xml:space="preserve">ve výši </w:t>
      </w:r>
      <w:r w:rsidR="004F3097" w:rsidRPr="006A07F7">
        <w:rPr>
          <w:rFonts w:asciiTheme="majorHAnsi" w:hAnsiTheme="majorHAnsi"/>
        </w:rPr>
        <w:t>10</w:t>
      </w:r>
      <w:r w:rsidR="001C6051" w:rsidRPr="006A07F7">
        <w:rPr>
          <w:rFonts w:asciiTheme="majorHAnsi" w:hAnsiTheme="majorHAnsi"/>
        </w:rPr>
        <w:t>,0</w:t>
      </w:r>
      <w:r w:rsidR="004B349E" w:rsidRPr="006A07F7">
        <w:rPr>
          <w:rFonts w:asciiTheme="majorHAnsi" w:hAnsiTheme="majorHAnsi"/>
        </w:rPr>
        <w:t xml:space="preserve"> mil. Kč</w:t>
      </w:r>
      <w:r w:rsidRPr="006A07F7">
        <w:rPr>
          <w:rFonts w:asciiTheme="majorHAnsi" w:hAnsiTheme="majorHAnsi"/>
        </w:rPr>
        <w:t>. Další případné kap</w:t>
      </w:r>
      <w:r w:rsidRPr="006A07F7">
        <w:rPr>
          <w:rFonts w:asciiTheme="majorHAnsi" w:hAnsiTheme="majorHAnsi"/>
        </w:rPr>
        <w:t>i</w:t>
      </w:r>
      <w:r w:rsidRPr="006A07F7">
        <w:rPr>
          <w:rFonts w:asciiTheme="majorHAnsi" w:hAnsiTheme="majorHAnsi"/>
        </w:rPr>
        <w:t>tálové příjmy budou odvislé od</w:t>
      </w:r>
      <w:r w:rsidR="004B349E" w:rsidRPr="006A07F7">
        <w:rPr>
          <w:rFonts w:asciiTheme="majorHAnsi" w:hAnsiTheme="majorHAnsi"/>
        </w:rPr>
        <w:t xml:space="preserve"> potřeb města a</w:t>
      </w:r>
      <w:r w:rsidRPr="006A07F7">
        <w:rPr>
          <w:rFonts w:asciiTheme="majorHAnsi" w:hAnsiTheme="majorHAnsi"/>
        </w:rPr>
        <w:t xml:space="preserve"> investiční aktivi</w:t>
      </w:r>
      <w:r w:rsidR="004B349E" w:rsidRPr="006A07F7">
        <w:rPr>
          <w:rFonts w:asciiTheme="majorHAnsi" w:hAnsiTheme="majorHAnsi"/>
        </w:rPr>
        <w:t xml:space="preserve">ty </w:t>
      </w:r>
      <w:r w:rsidRPr="006A07F7">
        <w:rPr>
          <w:rFonts w:asciiTheme="majorHAnsi" w:hAnsiTheme="majorHAnsi"/>
        </w:rPr>
        <w:t>v jednotlivých letech výhledu.</w:t>
      </w:r>
    </w:p>
    <w:p w:rsidR="007442DE" w:rsidRDefault="007442DE" w:rsidP="007442DE">
      <w:pPr>
        <w:pStyle w:val="Odstavecseseznamem"/>
        <w:numPr>
          <w:ilvl w:val="0"/>
          <w:numId w:val="30"/>
        </w:numPr>
      </w:pPr>
      <w:r w:rsidRPr="004978C9">
        <w:rPr>
          <w:rFonts w:asciiTheme="majorHAnsi" w:hAnsiTheme="majorHAnsi"/>
        </w:rPr>
        <w:t>Do rozpočtového</w:t>
      </w:r>
      <w:r>
        <w:t xml:space="preserve"> výhledu jsou zahrnuty investiční akce</w:t>
      </w:r>
      <w:r w:rsidR="001C4DA0">
        <w:t>. V</w:t>
      </w:r>
      <w:r>
        <w:t xml:space="preserve"> ro</w:t>
      </w:r>
      <w:r w:rsidR="001C4DA0">
        <w:t>ce</w:t>
      </w:r>
      <w:r>
        <w:t xml:space="preserve"> 2014</w:t>
      </w:r>
      <w:r w:rsidR="001C4DA0">
        <w:t xml:space="preserve"> se jedná podle návrhu rozpočtu</w:t>
      </w:r>
      <w:r w:rsidR="005840A3">
        <w:t xml:space="preserve"> o investice ve výši</w:t>
      </w:r>
      <w:r>
        <w:t xml:space="preserve"> </w:t>
      </w:r>
      <w:r w:rsidR="005840A3">
        <w:t>70,1</w:t>
      </w:r>
      <w:r>
        <w:t xml:space="preserve"> mil. Kč</w:t>
      </w:r>
      <w:r w:rsidR="005840A3">
        <w:t>, ve zbývajících letech rozpočtového výhledu se poč</w:t>
      </w:r>
      <w:r w:rsidR="005840A3">
        <w:t>í</w:t>
      </w:r>
      <w:r w:rsidR="005840A3">
        <w:t>tá s každoročními výdaji ve výši 30 mil. Kč. Na</w:t>
      </w:r>
      <w:r>
        <w:t xml:space="preserve"> </w:t>
      </w:r>
      <w:r w:rsidR="005840A3">
        <w:t xml:space="preserve">tyto </w:t>
      </w:r>
      <w:r>
        <w:t xml:space="preserve">akce </w:t>
      </w:r>
      <w:r w:rsidR="006467D3">
        <w:t>prozatím ne</w:t>
      </w:r>
      <w:r>
        <w:t>jsou</w:t>
      </w:r>
      <w:r w:rsidR="006467D3">
        <w:t xml:space="preserve"> smluvně zajištěny investiční dotace</w:t>
      </w:r>
      <w:r>
        <w:t xml:space="preserve"> </w:t>
      </w:r>
      <w:r w:rsidR="006467D3">
        <w:t>(</w:t>
      </w:r>
      <w:r w:rsidR="005840A3">
        <w:t xml:space="preserve">ani </w:t>
      </w:r>
      <w:r w:rsidR="006467D3">
        <w:t xml:space="preserve">předpoklad těchto dotací </w:t>
      </w:r>
      <w:r w:rsidR="005840A3">
        <w:t>není</w:t>
      </w:r>
      <w:r w:rsidR="006467D3">
        <w:t xml:space="preserve"> </w:t>
      </w:r>
      <w:r w:rsidR="00BA27DB">
        <w:t>součástí výhledu</w:t>
      </w:r>
      <w:r w:rsidR="006467D3">
        <w:t>)</w:t>
      </w:r>
      <w:r>
        <w:t>.</w:t>
      </w:r>
    </w:p>
    <w:p w:rsidR="007442DE" w:rsidRDefault="005840A3" w:rsidP="007442DE">
      <w:pPr>
        <w:pStyle w:val="Odstavecseseznamem"/>
        <w:numPr>
          <w:ilvl w:val="0"/>
          <w:numId w:val="30"/>
        </w:numPr>
      </w:pPr>
      <w:r>
        <w:t>SML</w:t>
      </w:r>
      <w:r w:rsidR="007442DE">
        <w:t xml:space="preserve"> uhradí </w:t>
      </w:r>
      <w:r w:rsidR="00BA27DB">
        <w:t>v období 2014 -</w:t>
      </w:r>
      <w:r w:rsidR="007442DE">
        <w:t xml:space="preserve"> 20</w:t>
      </w:r>
      <w:r w:rsidR="00BA27DB">
        <w:t>18</w:t>
      </w:r>
      <w:r w:rsidR="007442DE">
        <w:t xml:space="preserve"> úvěry</w:t>
      </w:r>
      <w:r w:rsidR="00BA27DB">
        <w:t xml:space="preserve"> ve výši </w:t>
      </w:r>
      <w:r>
        <w:t>5,3</w:t>
      </w:r>
      <w:r w:rsidR="00BA27DB">
        <w:t xml:space="preserve"> mil. Kč</w:t>
      </w:r>
      <w:r w:rsidR="00EF1B78">
        <w:t xml:space="preserve"> (SFŽP)</w:t>
      </w:r>
      <w:r>
        <w:t>, dalších 350 mil. Kč pře</w:t>
      </w:r>
      <w:r>
        <w:t>d</w:t>
      </w:r>
      <w:r>
        <w:t>stavují platby do umořovacího fondu komunálních dluhopisů.</w:t>
      </w:r>
      <w:r w:rsidR="007442DE">
        <w:t xml:space="preserve"> Index dluhové služby bude </w:t>
      </w:r>
      <w:r w:rsidR="00BA27DB">
        <w:t xml:space="preserve">od roku 2015 </w:t>
      </w:r>
      <w:r w:rsidR="007442DE">
        <w:t xml:space="preserve">meziročně </w:t>
      </w:r>
      <w:r w:rsidR="00EF1B78">
        <w:t xml:space="preserve">mírně </w:t>
      </w:r>
      <w:r w:rsidR="007442DE">
        <w:t xml:space="preserve">klesat z hodnoty </w:t>
      </w:r>
      <w:r w:rsidR="00EF1B78">
        <w:t>7,01</w:t>
      </w:r>
      <w:r w:rsidR="00BA27DB">
        <w:t xml:space="preserve"> %</w:t>
      </w:r>
      <w:r w:rsidR="007442DE">
        <w:t xml:space="preserve"> na hodnotu </w:t>
      </w:r>
      <w:r w:rsidR="00EF1B78">
        <w:t>6,</w:t>
      </w:r>
      <w:r w:rsidR="001C6051">
        <w:t>66</w:t>
      </w:r>
      <w:r w:rsidR="007442DE">
        <w:t xml:space="preserve"> % v posledním roce roz</w:t>
      </w:r>
      <w:r w:rsidR="007442DE" w:rsidRPr="0055577D">
        <w:t>počtového výhledu</w:t>
      </w:r>
      <w:r w:rsidR="00EF1B78">
        <w:t xml:space="preserve"> (umořování komunálních dluhopisů nemá na vývoj indexu vliv)</w:t>
      </w:r>
      <w:r w:rsidR="007442DE" w:rsidRPr="0055577D">
        <w:t>.</w:t>
      </w:r>
    </w:p>
    <w:p w:rsidR="009A23B3" w:rsidRPr="00DF30AF" w:rsidRDefault="009A23B3" w:rsidP="009A23B3">
      <w:pPr>
        <w:pStyle w:val="Titulek"/>
      </w:pPr>
      <w:bookmarkStart w:id="46" w:name="_Toc374432399"/>
      <w:r w:rsidRPr="006A07F7">
        <w:t xml:space="preserve">Tabulka č. </w:t>
      </w:r>
      <w:r w:rsidR="00902CF0" w:rsidRPr="006A07F7">
        <w:fldChar w:fldCharType="begin"/>
      </w:r>
      <w:r w:rsidR="00FC173B" w:rsidRPr="006A07F7">
        <w:instrText xml:space="preserve"> SEQ Tabulka \* ARABIC </w:instrText>
      </w:r>
      <w:r w:rsidR="00902CF0" w:rsidRPr="006A07F7">
        <w:fldChar w:fldCharType="separate"/>
      </w:r>
      <w:r w:rsidRPr="006A07F7">
        <w:rPr>
          <w:noProof/>
        </w:rPr>
        <w:t>5</w:t>
      </w:r>
      <w:r w:rsidR="00902CF0" w:rsidRPr="006A07F7">
        <w:fldChar w:fldCharType="end"/>
      </w:r>
      <w:r w:rsidRPr="006A07F7">
        <w:t xml:space="preserve">: </w:t>
      </w:r>
      <w:r w:rsidRPr="006A07F7">
        <w:tab/>
        <w:t>Predikce sdílených daní na rok 2014</w:t>
      </w:r>
      <w:bookmarkEnd w:id="46"/>
    </w:p>
    <w:p w:rsidR="009A23B3" w:rsidRDefault="004F3097" w:rsidP="009A23B3">
      <w:pPr>
        <w:jc w:val="center"/>
      </w:pPr>
      <w:r w:rsidRPr="004F3097">
        <w:rPr>
          <w:noProof/>
        </w:rPr>
        <w:drawing>
          <wp:inline distT="0" distB="0" distL="0" distR="0">
            <wp:extent cx="4723765" cy="1789430"/>
            <wp:effectExtent l="19050" t="0" r="635" b="0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3765" cy="1789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3B3" w:rsidRDefault="009A23B3" w:rsidP="009A23B3"/>
    <w:p w:rsidR="009A23B3" w:rsidRDefault="009A23B3" w:rsidP="009A23B3">
      <w:r>
        <w:t>V prvním sloupci tabulky je uvedena očekávaná skutečnost sdílených daní dle návrhu státního ro</w:t>
      </w:r>
      <w:r>
        <w:t>z</w:t>
      </w:r>
      <w:r>
        <w:t xml:space="preserve">počtu na rok </w:t>
      </w:r>
      <w:r w:rsidRPr="00850E8F">
        <w:t>201</w:t>
      </w:r>
      <w:r>
        <w:t xml:space="preserve">4. </w:t>
      </w:r>
      <w:r w:rsidRPr="00850E8F">
        <w:t>Druhý sloupec zachycuje konkrétní predikci pro Statutární město Liberec -  pravděpodobně dosažitelný objem financí plynoucí ze sdílených daní roku 2014. Třetí sloupec obs</w:t>
      </w:r>
      <w:r w:rsidRPr="00850E8F">
        <w:t>a</w:t>
      </w:r>
      <w:r w:rsidRPr="00850E8F">
        <w:t xml:space="preserve">huje údaje sdílených daní dle schváleného rozpočtu města. Ze srovnání druhého a třetího sloupce vidíme, že rozpočet města má nižší hodnoty než tato výchozí predikce (o </w:t>
      </w:r>
      <w:r>
        <w:t>4</w:t>
      </w:r>
      <w:r w:rsidRPr="00850E8F">
        <w:t>5,</w:t>
      </w:r>
      <w:r>
        <w:t>3</w:t>
      </w:r>
      <w:r w:rsidRPr="00850E8F">
        <w:t xml:space="preserve"> mil. Kč, tj. o </w:t>
      </w:r>
      <w:r>
        <w:t>4,3</w:t>
      </w:r>
      <w:r w:rsidRPr="00850E8F">
        <w:t xml:space="preserve"> % oproti predikci MF ČR), což lze</w:t>
      </w:r>
      <w:r>
        <w:t xml:space="preserve"> považovat </w:t>
      </w:r>
      <w:r w:rsidRPr="004F1B63">
        <w:t xml:space="preserve">za </w:t>
      </w:r>
      <w:r w:rsidR="00B73389">
        <w:t>přiměřenou</w:t>
      </w:r>
      <w:r w:rsidRPr="004F1B63">
        <w:t xml:space="preserve"> rezervu</w:t>
      </w:r>
      <w:r>
        <w:t xml:space="preserve"> pro případ nižšího plnění státního rozpočtu. Naopak zapojení prostředků v případě lepšího plnění výnosů ze sdílených daní v průběhu roku je otázkou rozpočtových opatření.</w:t>
      </w:r>
    </w:p>
    <w:p w:rsidR="007442DE" w:rsidRPr="0055577D" w:rsidRDefault="007442DE" w:rsidP="007442DE">
      <w:pPr>
        <w:pStyle w:val="Nadpis3"/>
      </w:pPr>
      <w:r w:rsidRPr="0055577D">
        <w:t>Vývoj výsledku hospodaření (celkové příjmy a výdaje)</w:t>
      </w:r>
    </w:p>
    <w:p w:rsidR="007442DE" w:rsidRDefault="007442DE" w:rsidP="007442DE">
      <w:r w:rsidRPr="005E6D98">
        <w:t xml:space="preserve">Výsledek hospodaření </w:t>
      </w:r>
      <w:r>
        <w:t>zobrazuje celkové saldo rozpočtového hospodaření bez započítání položek financování (bez splátek jistin a případně přijatých úvěrů v jednotlivých letech). Hodnota údaje „Sa</w:t>
      </w:r>
      <w:r>
        <w:t>l</w:t>
      </w:r>
      <w:r>
        <w:t>do bez financování“ vyjadřuje hodnotu finančních prostředků, které městu zůstávají na případnou úhradu svých závazků a investice.</w:t>
      </w:r>
    </w:p>
    <w:p w:rsidR="007442DE" w:rsidRPr="00530881" w:rsidRDefault="007442DE" w:rsidP="007442DE">
      <w:pPr>
        <w:pStyle w:val="graf"/>
      </w:pPr>
      <w:bookmarkStart w:id="47" w:name="_Toc365274612"/>
      <w:bookmarkStart w:id="48" w:name="_Toc368988393"/>
      <w:bookmarkStart w:id="49" w:name="_Toc372056167"/>
      <w:bookmarkStart w:id="50" w:name="_Toc374432390"/>
      <w:r w:rsidRPr="00530881">
        <w:t>Vývoj hospodaření</w:t>
      </w:r>
      <w:bookmarkEnd w:id="47"/>
      <w:bookmarkEnd w:id="48"/>
      <w:bookmarkEnd w:id="49"/>
      <w:bookmarkEnd w:id="50"/>
    </w:p>
    <w:p w:rsidR="007442DE" w:rsidRDefault="004C54EA" w:rsidP="007442DE">
      <w:pPr>
        <w:jc w:val="center"/>
        <w:rPr>
          <w:noProof/>
        </w:rPr>
      </w:pPr>
      <w:r w:rsidRPr="004C54EA">
        <w:rPr>
          <w:noProof/>
        </w:rPr>
        <w:drawing>
          <wp:inline distT="0" distB="0" distL="0" distR="0">
            <wp:extent cx="5760720" cy="2490712"/>
            <wp:effectExtent l="19050" t="0" r="0" b="0"/>
            <wp:docPr id="4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90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2DE" w:rsidRPr="0055577D" w:rsidRDefault="007442DE" w:rsidP="007442DE">
      <w:pPr>
        <w:pStyle w:val="Nadpis3"/>
      </w:pPr>
      <w:r w:rsidRPr="0055577D">
        <w:t>Hodnoty provozního hospodaření</w:t>
      </w:r>
    </w:p>
    <w:p w:rsidR="007442DE" w:rsidRDefault="007442DE" w:rsidP="007442DE">
      <w:r>
        <w:t>Pro celkový pohled na predikci hospodaření v období rozpočtového výhledu má zásadní význam vývoj provozních hodnot příjmů i výdajů. Na základě analýzy hospodaření v uplynulém pětiletém období, platného rozpočtu</w:t>
      </w:r>
      <w:r w:rsidR="00E91CA4">
        <w:t>, návrhu rozpočtu na rok 2014</w:t>
      </w:r>
      <w:r>
        <w:t xml:space="preserve"> a konzultací s pracovníky odboru</w:t>
      </w:r>
      <w:r w:rsidR="0055577D">
        <w:t xml:space="preserve"> ekonom</w:t>
      </w:r>
      <w:r w:rsidR="0055577D">
        <w:t>i</w:t>
      </w:r>
      <w:r w:rsidR="0055577D">
        <w:t>ky a majetku</w:t>
      </w:r>
      <w:r>
        <w:t xml:space="preserve"> byl stanoven vývoj jednotlivých položek. Souhrnný pohled na hodnoty celkových provozních (běžných) příjmů a výdajů je zobrazen v následujícím grafu. Z něho je od roku 2014 mo</w:t>
      </w:r>
      <w:r>
        <w:t>ž</w:t>
      </w:r>
      <w:r>
        <w:t>né vysledovat mírně se zvětšující rozdíl mezi těmito dvěma základ</w:t>
      </w:r>
      <w:r w:rsidR="0055577D">
        <w:t>ními hodnotami hospodaření</w:t>
      </w:r>
      <w:r>
        <w:t>.</w:t>
      </w:r>
    </w:p>
    <w:p w:rsidR="007442DE" w:rsidRPr="00530881" w:rsidRDefault="007442DE" w:rsidP="007442DE">
      <w:pPr>
        <w:pStyle w:val="graf"/>
      </w:pPr>
      <w:bookmarkStart w:id="51" w:name="_Toc365274608"/>
      <w:bookmarkStart w:id="52" w:name="_Toc368988394"/>
      <w:bookmarkStart w:id="53" w:name="_Toc372056168"/>
      <w:bookmarkStart w:id="54" w:name="_Toc374432391"/>
      <w:r w:rsidRPr="00530881">
        <w:t>Vývoj běžných příjmů a výdajů</w:t>
      </w:r>
      <w:bookmarkEnd w:id="51"/>
      <w:bookmarkEnd w:id="52"/>
      <w:bookmarkEnd w:id="53"/>
      <w:bookmarkEnd w:id="54"/>
    </w:p>
    <w:p w:rsidR="007442DE" w:rsidRDefault="00F326E8" w:rsidP="007442DE">
      <w:pPr>
        <w:jc w:val="center"/>
      </w:pPr>
      <w:r w:rsidRPr="00F326E8">
        <w:rPr>
          <w:noProof/>
        </w:rPr>
        <w:drawing>
          <wp:inline distT="0" distB="0" distL="0" distR="0">
            <wp:extent cx="5760720" cy="2444201"/>
            <wp:effectExtent l="19050" t="0" r="0" b="0"/>
            <wp:docPr id="38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44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2DE" w:rsidRPr="0055577D" w:rsidRDefault="007442DE" w:rsidP="007442DE">
      <w:pPr>
        <w:pStyle w:val="Nadpis3"/>
      </w:pPr>
      <w:r w:rsidRPr="0055577D">
        <w:t>Provozní přebytek</w:t>
      </w:r>
    </w:p>
    <w:p w:rsidR="005E773D" w:rsidRDefault="007442DE" w:rsidP="007442DE">
      <w:r w:rsidRPr="00D3467E">
        <w:rPr>
          <w:b/>
        </w:rPr>
        <w:t>Provozní přebytek</w:t>
      </w:r>
      <w:r w:rsidRPr="00D3467E">
        <w:t xml:space="preserve"> (rozdíl mezi běžnými příjmy a běžnými výdaji) je </w:t>
      </w:r>
      <w:r w:rsidR="00E91CA4">
        <w:t>od roku 201</w:t>
      </w:r>
      <w:r w:rsidR="000541F1">
        <w:t>5</w:t>
      </w:r>
      <w:r w:rsidR="00E91CA4">
        <w:t xml:space="preserve"> kl</w:t>
      </w:r>
      <w:r w:rsidRPr="00D3467E">
        <w:t xml:space="preserve">adný, a to v rozmezí </w:t>
      </w:r>
      <w:r w:rsidR="00E91CA4">
        <w:t xml:space="preserve">od </w:t>
      </w:r>
      <w:r w:rsidR="000541F1">
        <w:t>162,0</w:t>
      </w:r>
      <w:r>
        <w:t xml:space="preserve"> mil. Kč (201</w:t>
      </w:r>
      <w:r w:rsidR="0055577D">
        <w:t>6) do</w:t>
      </w:r>
      <w:r w:rsidRPr="00D3467E">
        <w:t xml:space="preserve"> </w:t>
      </w:r>
      <w:r w:rsidR="00783E31">
        <w:t>196,6</w:t>
      </w:r>
      <w:r w:rsidRPr="00D3467E">
        <w:t xml:space="preserve"> mil. Kč</w:t>
      </w:r>
      <w:r>
        <w:t xml:space="preserve"> (2018)</w:t>
      </w:r>
      <w:r w:rsidRPr="00D3467E">
        <w:t xml:space="preserve">. Po odečtení </w:t>
      </w:r>
      <w:r w:rsidRPr="00D3467E">
        <w:rPr>
          <w:b/>
        </w:rPr>
        <w:t xml:space="preserve">splátek </w:t>
      </w:r>
      <w:r w:rsidRPr="00C20C1B">
        <w:rPr>
          <w:b/>
        </w:rPr>
        <w:t>jistiny</w:t>
      </w:r>
      <w:r w:rsidRPr="00C20C1B">
        <w:t xml:space="preserve"> je v rozmezí od </w:t>
      </w:r>
      <w:r w:rsidR="000541F1">
        <w:t>161,0</w:t>
      </w:r>
      <w:r>
        <w:t xml:space="preserve"> mil. Kč (</w:t>
      </w:r>
      <w:r w:rsidRPr="00C20C1B">
        <w:t>201</w:t>
      </w:r>
      <w:r w:rsidR="0055577D">
        <w:t>6</w:t>
      </w:r>
      <w:r w:rsidRPr="00C20C1B">
        <w:t xml:space="preserve">) až </w:t>
      </w:r>
      <w:r w:rsidR="00783E31">
        <w:t>195,5</w:t>
      </w:r>
      <w:r>
        <w:t xml:space="preserve"> </w:t>
      </w:r>
      <w:r w:rsidR="00783E31">
        <w:t xml:space="preserve">mil. Kč (2018). </w:t>
      </w:r>
      <w:r w:rsidR="0055577D">
        <w:t>V roce 2014 je z výše uvedených důvodů provozní př</w:t>
      </w:r>
      <w:r w:rsidR="0055577D">
        <w:t>e</w:t>
      </w:r>
      <w:r w:rsidR="0055577D">
        <w:t xml:space="preserve">bytek snížený na 95,5 mil. Kč (po odečtení splátek jistin 94,5 mil. Kč). </w:t>
      </w:r>
      <w:r w:rsidR="00783E31">
        <w:t xml:space="preserve">Po odečtení </w:t>
      </w:r>
      <w:r w:rsidR="000541F1">
        <w:t>plateb do umořovacího fondu komunálních dluhopisů</w:t>
      </w:r>
      <w:r w:rsidRPr="00C20C1B">
        <w:t xml:space="preserve"> </w:t>
      </w:r>
      <w:r w:rsidR="000541F1">
        <w:t>(70 mil. Kč každoročně) získáme</w:t>
      </w:r>
      <w:r w:rsidRPr="00C20C1B">
        <w:t xml:space="preserve"> využitelné finanční prostředky z provozního rozpočtu</w:t>
      </w:r>
      <w:r w:rsidR="004C54EA">
        <w:t xml:space="preserve"> na investice a větší </w:t>
      </w:r>
      <w:r w:rsidRPr="00C20C1B">
        <w:t>akce charakteru oprav a údržby bez za</w:t>
      </w:r>
      <w:r w:rsidR="004C54EA">
        <w:t xml:space="preserve">pojení cizích prostředků (např. </w:t>
      </w:r>
      <w:r w:rsidRPr="00C20C1B">
        <w:t>úvěry, investiční dotace) a bez prodeje majetku</w:t>
      </w:r>
      <w:r w:rsidR="000541F1">
        <w:t xml:space="preserve"> (tj. 24,5 – 125,5 mil. Kč)</w:t>
      </w:r>
      <w:r>
        <w:t>.</w:t>
      </w:r>
      <w:r w:rsidR="00B824C3">
        <w:t xml:space="preserve"> </w:t>
      </w:r>
    </w:p>
    <w:p w:rsidR="007442DE" w:rsidRPr="00530881" w:rsidRDefault="007442DE" w:rsidP="004C54EA">
      <w:pPr>
        <w:pStyle w:val="graf"/>
        <w:spacing w:before="160" w:after="160"/>
      </w:pPr>
      <w:bookmarkStart w:id="55" w:name="_Toc365274610"/>
      <w:bookmarkStart w:id="56" w:name="_Toc368988395"/>
      <w:bookmarkStart w:id="57" w:name="_Toc372056169"/>
      <w:bookmarkStart w:id="58" w:name="_Toc374432392"/>
      <w:r w:rsidRPr="00530881">
        <w:t>Vývoj provozního přebytku</w:t>
      </w:r>
      <w:bookmarkEnd w:id="55"/>
      <w:bookmarkEnd w:id="56"/>
      <w:bookmarkEnd w:id="57"/>
      <w:bookmarkEnd w:id="58"/>
    </w:p>
    <w:p w:rsidR="007442DE" w:rsidRDefault="004C54EA" w:rsidP="007442DE">
      <w:pPr>
        <w:jc w:val="center"/>
      </w:pPr>
      <w:r w:rsidRPr="004C54EA">
        <w:rPr>
          <w:noProof/>
        </w:rPr>
        <w:drawing>
          <wp:inline distT="0" distB="0" distL="0" distR="0">
            <wp:extent cx="5760720" cy="2240151"/>
            <wp:effectExtent l="19050" t="0" r="0" b="0"/>
            <wp:docPr id="47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40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2DE" w:rsidRPr="00033467" w:rsidRDefault="007442DE" w:rsidP="007442DE">
      <w:pPr>
        <w:pStyle w:val="Nadpis3"/>
        <w:spacing w:before="120"/>
      </w:pPr>
      <w:r w:rsidRPr="00033467">
        <w:t>Index provozních úspor</w:t>
      </w:r>
    </w:p>
    <w:p w:rsidR="007442DE" w:rsidRDefault="007442DE" w:rsidP="007442DE">
      <w:r>
        <w:t xml:space="preserve">Ukazatel upraveného rozpočtu na aktuální kalendářní rok dosahuje hodnoty </w:t>
      </w:r>
      <w:r w:rsidR="00A3111F">
        <w:t>14,8</w:t>
      </w:r>
      <w:r>
        <w:t xml:space="preserve"> %.  Následuje m</w:t>
      </w:r>
      <w:r>
        <w:t>e</w:t>
      </w:r>
      <w:r>
        <w:t xml:space="preserve">ziroční </w:t>
      </w:r>
      <w:r w:rsidR="00D44277">
        <w:t xml:space="preserve">propad na </w:t>
      </w:r>
      <w:r>
        <w:t xml:space="preserve">hodnotu </w:t>
      </w:r>
      <w:r w:rsidR="00A3111F">
        <w:t>6,4</w:t>
      </w:r>
      <w:r>
        <w:t xml:space="preserve"> %, což je především důsledek </w:t>
      </w:r>
      <w:r w:rsidR="00D44277">
        <w:t xml:space="preserve">již zmíněných změn provozní části rozpočtu v návrhu rozpočtu na rok 2014. </w:t>
      </w:r>
      <w:r>
        <w:t xml:space="preserve">Od roku 2015, kdy </w:t>
      </w:r>
      <w:r w:rsidR="00A3111F">
        <w:t xml:space="preserve">se </w:t>
      </w:r>
      <w:r>
        <w:t>ukazatel dos</w:t>
      </w:r>
      <w:r w:rsidR="00A3111F">
        <w:t>tává na hodnoty blízké roku 2013</w:t>
      </w:r>
      <w:r w:rsidR="00D44277">
        <w:t xml:space="preserve">, konkrétně </w:t>
      </w:r>
      <w:r w:rsidR="00A3111F">
        <w:t>12,2</w:t>
      </w:r>
      <w:r>
        <w:t xml:space="preserve"> %</w:t>
      </w:r>
      <w:r w:rsidR="00D44277">
        <w:t xml:space="preserve">, </w:t>
      </w:r>
      <w:r>
        <w:t xml:space="preserve">dochází </w:t>
      </w:r>
      <w:r w:rsidR="00D44277">
        <w:t>k</w:t>
      </w:r>
      <w:r w:rsidR="00A3111F">
        <w:t>e stagnaci ukazatele a do konce rozpočtového výhledu se pohybuje v rozmezí 11,1 % (2016) – 13,0 % (2018).</w:t>
      </w:r>
      <w:r w:rsidR="00D44277">
        <w:t> </w:t>
      </w:r>
      <w:r w:rsidR="0035347D">
        <w:t xml:space="preserve">Opětovný nárůst indexu je zapříčiněn nižšími hodnotami výdajů na opravy a údržbu majetku města a také </w:t>
      </w:r>
      <w:r w:rsidR="00575633">
        <w:t>absencí</w:t>
      </w:r>
      <w:r w:rsidR="00033467">
        <w:t xml:space="preserve"> nespecifikovaných rezerv (35,4 mil. Kč v roce 2014). </w:t>
      </w:r>
      <w:r>
        <w:t xml:space="preserve">Hodnota ukazatele se </w:t>
      </w:r>
      <w:r w:rsidR="00033467">
        <w:t xml:space="preserve">tak </w:t>
      </w:r>
      <w:r w:rsidR="00D44277">
        <w:t>od roku 2015</w:t>
      </w:r>
      <w:r w:rsidR="00343F68">
        <w:t xml:space="preserve"> </w:t>
      </w:r>
      <w:r>
        <w:t xml:space="preserve">pohybuje </w:t>
      </w:r>
      <w:r w:rsidR="00033467">
        <w:t>mírně</w:t>
      </w:r>
      <w:r w:rsidR="00343F68">
        <w:t xml:space="preserve"> </w:t>
      </w:r>
      <w:r w:rsidR="00033467">
        <w:t>nad</w:t>
      </w:r>
      <w:r w:rsidR="00D44277">
        <w:t xml:space="preserve"> minimáln</w:t>
      </w:r>
      <w:r w:rsidR="00343F68">
        <w:t>í</w:t>
      </w:r>
      <w:r w:rsidR="00D44277">
        <w:t xml:space="preserve"> úrovní indexu provozních úspor (10 %</w:t>
      </w:r>
      <w:r w:rsidR="00A12CF2">
        <w:t>)</w:t>
      </w:r>
      <w:r w:rsidR="00D44277">
        <w:t>.</w:t>
      </w:r>
    </w:p>
    <w:p w:rsidR="007442DE" w:rsidRPr="00530881" w:rsidRDefault="007442DE" w:rsidP="004C54EA">
      <w:pPr>
        <w:pStyle w:val="graf"/>
        <w:spacing w:before="160" w:after="160"/>
      </w:pPr>
      <w:bookmarkStart w:id="59" w:name="_Toc365274611"/>
      <w:bookmarkStart w:id="60" w:name="_Toc368988396"/>
      <w:bookmarkStart w:id="61" w:name="_Toc372056170"/>
      <w:bookmarkStart w:id="62" w:name="_Toc374432393"/>
      <w:r w:rsidRPr="00530881">
        <w:t>Vývoj indexu provozních úspor</w:t>
      </w:r>
      <w:bookmarkEnd w:id="59"/>
      <w:bookmarkEnd w:id="60"/>
      <w:bookmarkEnd w:id="61"/>
      <w:bookmarkEnd w:id="62"/>
    </w:p>
    <w:p w:rsidR="007442DE" w:rsidRPr="002B3DBA" w:rsidRDefault="00397541" w:rsidP="007442DE">
      <w:pPr>
        <w:spacing w:line="240" w:lineRule="auto"/>
        <w:jc w:val="center"/>
        <w:rPr>
          <w:highlight w:val="yellow"/>
        </w:rPr>
      </w:pPr>
      <w:r w:rsidRPr="00397541">
        <w:rPr>
          <w:noProof/>
        </w:rPr>
        <w:drawing>
          <wp:inline distT="0" distB="0" distL="0" distR="0">
            <wp:extent cx="5760720" cy="2100589"/>
            <wp:effectExtent l="19050" t="0" r="0" b="0"/>
            <wp:docPr id="56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00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2DE" w:rsidRPr="00EB2EEA" w:rsidRDefault="007442DE" w:rsidP="007442DE">
      <w:pPr>
        <w:pStyle w:val="Nadpis3"/>
      </w:pPr>
      <w:r w:rsidRPr="00EB2EEA">
        <w:t>Volné finanční prostředky</w:t>
      </w:r>
    </w:p>
    <w:p w:rsidR="007442DE" w:rsidRDefault="007442DE" w:rsidP="007442DE">
      <w:r>
        <w:t>V řádku „Volné finanční prostředky“ jsou uvedeny hodnoty finančních prostředků, které městu z</w:t>
      </w:r>
      <w:r>
        <w:t>ů</w:t>
      </w:r>
      <w:r>
        <w:t>stanou na financování investičních akcí po splnění svých závazků. Protože rozpočtový výhl</w:t>
      </w:r>
      <w:r w:rsidR="001D78A1">
        <w:t xml:space="preserve">ed </w:t>
      </w:r>
      <w:r>
        <w:t>počítá s</w:t>
      </w:r>
      <w:r w:rsidR="001D78A1">
        <w:t> určitým objemem prostředku na investiční</w:t>
      </w:r>
      <w:r>
        <w:t xml:space="preserve"> akce</w:t>
      </w:r>
      <w:r w:rsidR="00363BEB">
        <w:t xml:space="preserve"> (na řádku „Kapitálové výdaje“)</w:t>
      </w:r>
      <w:r>
        <w:t xml:space="preserve">, hodnota tohoto řádku zobrazuje výši finančních prostředků, které může město použít na </w:t>
      </w:r>
      <w:r w:rsidR="001D78A1">
        <w:t xml:space="preserve">další </w:t>
      </w:r>
      <w:r>
        <w:t>financování investi</w:t>
      </w:r>
      <w:r>
        <w:t>č</w:t>
      </w:r>
      <w:r>
        <w:t>ních aktivit</w:t>
      </w:r>
      <w:r w:rsidR="001D78A1">
        <w:t xml:space="preserve">, jednorázové akce typu oprav a údržby majetku města </w:t>
      </w:r>
      <w:r w:rsidR="00EB2EEA">
        <w:t>(ty jsou zahrnuty pouze v návrhu rozpočtu na rok 2014)</w:t>
      </w:r>
      <w:r w:rsidR="001D78A1">
        <w:t xml:space="preserve"> nebo na navýšení plateb do amortizačního fondu komunálních dluhopisů</w:t>
      </w:r>
      <w:r>
        <w:t xml:space="preserve">. </w:t>
      </w:r>
    </w:p>
    <w:p w:rsidR="007442DE" w:rsidRPr="00530881" w:rsidRDefault="007442DE" w:rsidP="007442DE">
      <w:pPr>
        <w:pStyle w:val="Titulek"/>
        <w:spacing w:before="160" w:after="160"/>
      </w:pPr>
      <w:bookmarkStart w:id="63" w:name="_Toc365274730"/>
      <w:bookmarkStart w:id="64" w:name="_Toc368988413"/>
      <w:bookmarkStart w:id="65" w:name="_Toc372056184"/>
      <w:bookmarkStart w:id="66" w:name="_Toc374432400"/>
      <w:r w:rsidRPr="00530881">
        <w:t xml:space="preserve">Tabulka č. </w:t>
      </w:r>
      <w:r w:rsidR="00902CF0" w:rsidRPr="00530881">
        <w:fldChar w:fldCharType="begin"/>
      </w:r>
      <w:r w:rsidR="0052152F" w:rsidRPr="00530881">
        <w:instrText xml:space="preserve"> SEQ Tabulka \* ARABIC </w:instrText>
      </w:r>
      <w:r w:rsidR="00902CF0" w:rsidRPr="00530881">
        <w:fldChar w:fldCharType="separate"/>
      </w:r>
      <w:r w:rsidR="009A23B3">
        <w:rPr>
          <w:noProof/>
        </w:rPr>
        <w:t>6</w:t>
      </w:r>
      <w:r w:rsidR="00902CF0" w:rsidRPr="00530881">
        <w:fldChar w:fldCharType="end"/>
      </w:r>
      <w:r w:rsidRPr="00530881">
        <w:t>:</w:t>
      </w:r>
      <w:r w:rsidRPr="00530881">
        <w:tab/>
        <w:t>Volné finanční prostředky</w:t>
      </w:r>
      <w:bookmarkEnd w:id="63"/>
      <w:bookmarkEnd w:id="64"/>
      <w:bookmarkEnd w:id="65"/>
      <w:bookmarkEnd w:id="66"/>
    </w:p>
    <w:p w:rsidR="007442DE" w:rsidRDefault="007A556D" w:rsidP="007442DE">
      <w:pPr>
        <w:jc w:val="center"/>
        <w:rPr>
          <w:lang w:val="en-US"/>
        </w:rPr>
      </w:pPr>
      <w:r w:rsidRPr="007A556D">
        <w:rPr>
          <w:noProof/>
        </w:rPr>
        <w:drawing>
          <wp:inline distT="0" distB="0" distL="0" distR="0">
            <wp:extent cx="5760720" cy="1584649"/>
            <wp:effectExtent l="19050" t="0" r="0" b="0"/>
            <wp:docPr id="1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84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2DE" w:rsidRPr="00645039" w:rsidRDefault="007442DE" w:rsidP="007442DE">
      <w:pPr>
        <w:rPr>
          <w:sz w:val="18"/>
          <w:szCs w:val="18"/>
          <w:lang w:val="en-US"/>
        </w:rPr>
      </w:pPr>
    </w:p>
    <w:p w:rsidR="00433A82" w:rsidRDefault="007442DE" w:rsidP="00D70A53">
      <w:r>
        <w:t xml:space="preserve">V tabulce je vyjádřen odhad finančních toků v budoucnosti. Tento odhad vychází, stejně jako celý rozpočtový výhled, ze stávající legislativy a místních podmínek. Je zřejmé, že </w:t>
      </w:r>
      <w:r w:rsidR="00363BEB">
        <w:t>SML</w:t>
      </w:r>
      <w:r>
        <w:t xml:space="preserve"> ve sledova</w:t>
      </w:r>
      <w:r w:rsidR="00363BEB">
        <w:t>ném období 2015</w:t>
      </w:r>
      <w:r>
        <w:t xml:space="preserve"> - 2018 může do realizace</w:t>
      </w:r>
      <w:r w:rsidR="00363BEB">
        <w:t xml:space="preserve"> dalších</w:t>
      </w:r>
      <w:r>
        <w:t xml:space="preserve"> investičních akcí zapojit finanční prostředky v objemech </w:t>
      </w:r>
      <w:r w:rsidR="00363BEB">
        <w:t>71,0</w:t>
      </w:r>
      <w:r>
        <w:t xml:space="preserve"> mil. Kč (201</w:t>
      </w:r>
      <w:r w:rsidR="000D55D9">
        <w:t>6</w:t>
      </w:r>
      <w:r>
        <w:t xml:space="preserve">) – </w:t>
      </w:r>
      <w:r w:rsidR="00363BEB">
        <w:t>106,6</w:t>
      </w:r>
      <w:r>
        <w:t xml:space="preserve"> mil Kč. (201</w:t>
      </w:r>
      <w:r w:rsidR="00343F68">
        <w:t>8</w:t>
      </w:r>
      <w:r>
        <w:t xml:space="preserve">). V roce 2014 je hodnota volných finančních prostředků </w:t>
      </w:r>
      <w:r w:rsidR="00363BEB">
        <w:t>nulová</w:t>
      </w:r>
      <w:r w:rsidR="00343F68">
        <w:t>, a to</w:t>
      </w:r>
      <w:r w:rsidR="000B2AE1">
        <w:t xml:space="preserve"> zejména</w:t>
      </w:r>
      <w:r w:rsidR="00343F68">
        <w:t xml:space="preserve"> d</w:t>
      </w:r>
      <w:r w:rsidR="005B2F21">
        <w:t>í</w:t>
      </w:r>
      <w:r w:rsidR="00343F68">
        <w:t>ky zapojen</w:t>
      </w:r>
      <w:r w:rsidR="005B2F21">
        <w:t>í</w:t>
      </w:r>
      <w:r w:rsidR="00343F68">
        <w:t xml:space="preserve"> finančn</w:t>
      </w:r>
      <w:r w:rsidR="005B2F21">
        <w:t>í</w:t>
      </w:r>
      <w:r w:rsidR="00343F68">
        <w:t xml:space="preserve">ch prostředků </w:t>
      </w:r>
      <w:r w:rsidR="005B2F21">
        <w:t>z přebytků hospodaření min</w:t>
      </w:r>
      <w:r w:rsidR="005B2F21">
        <w:t>u</w:t>
      </w:r>
      <w:r w:rsidR="005B2F21">
        <w:t>lých let</w:t>
      </w:r>
      <w:r w:rsidR="000B2AE1">
        <w:t xml:space="preserve"> (40,8 mil. Kč). V daném roce se ovšem počítá s investičními akcemi ve výši </w:t>
      </w:r>
      <w:r w:rsidR="00485B72">
        <w:t>70,1</w:t>
      </w:r>
      <w:r w:rsidR="000B2AE1">
        <w:t xml:space="preserve"> mil. Kč. Z uvedeného vyplývá</w:t>
      </w:r>
      <w:r w:rsidR="005B2F21">
        <w:t xml:space="preserve">, že disponibilní prostředky na investiční rozvoj města jsou </w:t>
      </w:r>
      <w:r w:rsidR="000B2AE1">
        <w:t>v porovnání s pře</w:t>
      </w:r>
      <w:r w:rsidR="000B2AE1">
        <w:t>d</w:t>
      </w:r>
      <w:r w:rsidR="000B2AE1">
        <w:t xml:space="preserve">chozími roky </w:t>
      </w:r>
      <w:r w:rsidR="005B2F21">
        <w:t xml:space="preserve">omezené. </w:t>
      </w:r>
    </w:p>
    <w:p w:rsidR="007442DE" w:rsidRPr="007A556D" w:rsidRDefault="007442DE" w:rsidP="007442DE">
      <w:pPr>
        <w:pStyle w:val="Nadpis3"/>
      </w:pPr>
      <w:r w:rsidRPr="007A556D">
        <w:t>Dluhová služba</w:t>
      </w:r>
    </w:p>
    <w:p w:rsidR="008D736A" w:rsidRDefault="008D736A" w:rsidP="008D736A">
      <w:r>
        <w:t xml:space="preserve">Dluhová služba poskytuje užitečný přehled o výpůjční aktivitě města a o jeho schopnosti splácet dluh. </w:t>
      </w:r>
    </w:p>
    <w:p w:rsidR="00657F31" w:rsidRDefault="008D736A" w:rsidP="00657F31">
      <w:pPr>
        <w:rPr>
          <w:shd w:val="clear" w:color="auto" w:fill="FFFFFF"/>
        </w:rPr>
      </w:pPr>
      <w:r>
        <w:t xml:space="preserve">Celkem musí </w:t>
      </w:r>
      <w:r w:rsidR="000D55D9">
        <w:t>SML</w:t>
      </w:r>
      <w:r w:rsidR="001177AD">
        <w:t xml:space="preserve"> </w:t>
      </w:r>
      <w:r>
        <w:t xml:space="preserve">v letech 2014 - 2018 splatit </w:t>
      </w:r>
      <w:r w:rsidR="00166172">
        <w:t>865,7</w:t>
      </w:r>
      <w:r>
        <w:t xml:space="preserve"> mil. Kč současných závazků včet</w:t>
      </w:r>
      <w:r w:rsidR="00166172">
        <w:t>ně úroků.</w:t>
      </w:r>
    </w:p>
    <w:p w:rsidR="00D74BA3" w:rsidRDefault="00D74BA3" w:rsidP="007442DE">
      <w:pPr>
        <w:rPr>
          <w:b/>
          <w:bCs/>
          <w:u w:val="single"/>
        </w:rPr>
      </w:pPr>
    </w:p>
    <w:p w:rsidR="007442DE" w:rsidRDefault="007442DE" w:rsidP="007442DE">
      <w:pPr>
        <w:rPr>
          <w:b/>
          <w:bCs/>
          <w:u w:val="single"/>
        </w:rPr>
      </w:pPr>
      <w:r w:rsidRPr="007A556D">
        <w:rPr>
          <w:b/>
          <w:bCs/>
          <w:u w:val="single"/>
        </w:rPr>
        <w:t>Splatnost úvěrů a půjček:</w:t>
      </w:r>
      <w:r w:rsidRPr="00166172">
        <w:rPr>
          <w:b/>
          <w:bCs/>
          <w:u w:val="single"/>
        </w:rPr>
        <w:t xml:space="preserve"> </w:t>
      </w:r>
    </w:p>
    <w:p w:rsidR="00397541" w:rsidRPr="00166172" w:rsidRDefault="00397541" w:rsidP="007442DE">
      <w:pPr>
        <w:rPr>
          <w:b/>
          <w:bCs/>
          <w:i/>
          <w:iCs/>
          <w:u w:val="single"/>
        </w:rPr>
      </w:pPr>
    </w:p>
    <w:p w:rsidR="003700CE" w:rsidRPr="00D235A7" w:rsidRDefault="007442DE" w:rsidP="003700CE">
      <w:pPr>
        <w:pStyle w:val="Odstavecseseznamem"/>
        <w:numPr>
          <w:ilvl w:val="0"/>
          <w:numId w:val="42"/>
        </w:numPr>
      </w:pPr>
      <w:r w:rsidRPr="00D235A7">
        <w:rPr>
          <w:rFonts w:asciiTheme="majorHAnsi" w:hAnsiTheme="majorHAnsi"/>
          <w:iCs/>
          <w:szCs w:val="21"/>
        </w:rPr>
        <w:t>201</w:t>
      </w:r>
      <w:r w:rsidR="003700CE" w:rsidRPr="00D235A7">
        <w:rPr>
          <w:rFonts w:asciiTheme="majorHAnsi" w:hAnsiTheme="majorHAnsi"/>
          <w:iCs/>
          <w:szCs w:val="21"/>
        </w:rPr>
        <w:t xml:space="preserve">5 </w:t>
      </w:r>
      <w:r w:rsidR="00EB4DD4" w:rsidRPr="00D235A7">
        <w:rPr>
          <w:rFonts w:asciiTheme="majorHAnsi" w:hAnsiTheme="majorHAnsi"/>
          <w:iCs/>
          <w:szCs w:val="21"/>
        </w:rPr>
        <w:t>–</w:t>
      </w:r>
      <w:r w:rsidR="003700CE" w:rsidRPr="00D235A7">
        <w:rPr>
          <w:rFonts w:asciiTheme="majorHAnsi" w:hAnsiTheme="majorHAnsi"/>
          <w:iCs/>
          <w:szCs w:val="21"/>
        </w:rPr>
        <w:t xml:space="preserve"> </w:t>
      </w:r>
      <w:r w:rsidR="003700CE" w:rsidRPr="00D235A7">
        <w:rPr>
          <w:rFonts w:asciiTheme="majorHAnsi" w:hAnsiTheme="majorHAnsi" w:cs="Arial"/>
          <w:color w:val="000000"/>
          <w:szCs w:val="21"/>
          <w:shd w:val="clear" w:color="auto" w:fill="FFFFFF"/>
        </w:rPr>
        <w:t xml:space="preserve">zajištěný revolvingový úvěr ve výši 150 milionů korun z roku 2012 od Equa bank na financování projektů dotovaných z EU. Výše </w:t>
      </w:r>
      <w:r w:rsidR="003700CE" w:rsidRPr="00D235A7">
        <w:t xml:space="preserve">splátek je v neurčité výši, a to podle průběhu čerpání a příjmu dotací. </w:t>
      </w:r>
      <w:r w:rsidR="00EB4DD4" w:rsidRPr="00D235A7">
        <w:t>Předpokládané úroky jsou ve výši 3,6 mil. Kč (1M PRIBOR + 4,16 % p.a.).</w:t>
      </w:r>
      <w:r w:rsidR="00D235A7" w:rsidRPr="00D235A7">
        <w:t xml:space="preserve">  V současné době SML jedná o prodloužení tohoto úvěru, případně uvažuje o novém.</w:t>
      </w:r>
    </w:p>
    <w:p w:rsidR="00DD7E02" w:rsidRPr="003700CE" w:rsidRDefault="003700CE" w:rsidP="003700C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line="240" w:lineRule="auto"/>
        <w:jc w:val="left"/>
        <w:rPr>
          <w:rFonts w:asciiTheme="majorHAnsi" w:hAnsiTheme="majorHAnsi" w:cs="TimesNewRoman"/>
          <w:szCs w:val="21"/>
          <w:lang w:eastAsia="en-US"/>
        </w:rPr>
      </w:pPr>
      <w:r w:rsidRPr="003700CE">
        <w:rPr>
          <w:rFonts w:asciiTheme="majorHAnsi" w:hAnsiTheme="majorHAnsi"/>
          <w:iCs/>
          <w:szCs w:val="21"/>
        </w:rPr>
        <w:t>2017</w:t>
      </w:r>
      <w:r>
        <w:rPr>
          <w:rFonts w:asciiTheme="majorHAnsi" w:hAnsiTheme="majorHAnsi"/>
          <w:iCs/>
          <w:szCs w:val="21"/>
        </w:rPr>
        <w:t xml:space="preserve"> </w:t>
      </w:r>
      <w:r w:rsidR="00EB4DD4" w:rsidRPr="003700CE">
        <w:rPr>
          <w:rFonts w:asciiTheme="majorHAnsi" w:hAnsiTheme="majorHAnsi"/>
          <w:iCs/>
          <w:szCs w:val="21"/>
        </w:rPr>
        <w:t>–</w:t>
      </w:r>
      <w:r>
        <w:rPr>
          <w:rFonts w:asciiTheme="majorHAnsi" w:hAnsiTheme="majorHAnsi"/>
          <w:iCs/>
          <w:szCs w:val="21"/>
        </w:rPr>
        <w:t xml:space="preserve"> </w:t>
      </w:r>
      <w:r w:rsidR="00DD7E02" w:rsidRPr="003700CE">
        <w:rPr>
          <w:rFonts w:asciiTheme="majorHAnsi" w:hAnsiTheme="majorHAnsi"/>
          <w:iCs/>
          <w:szCs w:val="21"/>
        </w:rPr>
        <w:t>půjčka ze SFŽP přijatá v roce</w:t>
      </w:r>
      <w:r w:rsidR="00821DB8" w:rsidRPr="003700CE">
        <w:rPr>
          <w:rFonts w:asciiTheme="majorHAnsi" w:hAnsiTheme="majorHAnsi"/>
          <w:szCs w:val="21"/>
          <w:lang w:eastAsia="en-US"/>
        </w:rPr>
        <w:t xml:space="preserve"> 2003</w:t>
      </w:r>
      <w:r w:rsidR="00DD7E02" w:rsidRPr="003700CE">
        <w:rPr>
          <w:rFonts w:asciiTheme="majorHAnsi" w:hAnsiTheme="majorHAnsi"/>
          <w:szCs w:val="21"/>
          <w:lang w:eastAsia="en-US"/>
        </w:rPr>
        <w:t xml:space="preserve"> na investiční akci</w:t>
      </w:r>
      <w:r w:rsidR="00821DB8" w:rsidRPr="003700CE">
        <w:rPr>
          <w:rFonts w:asciiTheme="majorHAnsi" w:hAnsiTheme="majorHAnsi"/>
          <w:szCs w:val="21"/>
          <w:lang w:eastAsia="en-US"/>
        </w:rPr>
        <w:t xml:space="preserve"> „Využití odpadního</w:t>
      </w:r>
      <w:r w:rsidR="00DD7E02" w:rsidRPr="003700CE">
        <w:rPr>
          <w:rFonts w:asciiTheme="majorHAnsi" w:hAnsiTheme="majorHAnsi"/>
          <w:szCs w:val="21"/>
          <w:lang w:eastAsia="en-US"/>
        </w:rPr>
        <w:t xml:space="preserve"> </w:t>
      </w:r>
      <w:r w:rsidR="00821DB8" w:rsidRPr="003700CE">
        <w:rPr>
          <w:rFonts w:asciiTheme="majorHAnsi" w:hAnsiTheme="majorHAnsi"/>
          <w:szCs w:val="21"/>
          <w:lang w:eastAsia="en-US"/>
        </w:rPr>
        <w:t>tepla ze zi</w:t>
      </w:r>
      <w:r w:rsidR="00821DB8" w:rsidRPr="003700CE">
        <w:rPr>
          <w:rFonts w:asciiTheme="majorHAnsi" w:hAnsiTheme="majorHAnsi"/>
          <w:szCs w:val="21"/>
          <w:lang w:eastAsia="en-US"/>
        </w:rPr>
        <w:t>m</w:t>
      </w:r>
      <w:r w:rsidR="00821DB8" w:rsidRPr="003700CE">
        <w:rPr>
          <w:rFonts w:asciiTheme="majorHAnsi" w:hAnsiTheme="majorHAnsi"/>
          <w:szCs w:val="21"/>
          <w:lang w:eastAsia="en-US"/>
        </w:rPr>
        <w:t>ního stadionu Liberec“</w:t>
      </w:r>
      <w:r w:rsidR="00DD7E02" w:rsidRPr="003700CE">
        <w:rPr>
          <w:rFonts w:asciiTheme="majorHAnsi" w:hAnsiTheme="majorHAnsi"/>
          <w:szCs w:val="21"/>
          <w:lang w:eastAsia="en-US"/>
        </w:rPr>
        <w:t xml:space="preserve">, půjčka byla poskytnuta v celkové výši </w:t>
      </w:r>
      <w:r w:rsidR="00821DB8" w:rsidRPr="003700CE">
        <w:rPr>
          <w:rFonts w:asciiTheme="majorHAnsi" w:hAnsiTheme="majorHAnsi"/>
          <w:szCs w:val="21"/>
          <w:lang w:eastAsia="en-US"/>
        </w:rPr>
        <w:t>12</w:t>
      </w:r>
      <w:r w:rsidR="00DD7E02" w:rsidRPr="003700CE">
        <w:rPr>
          <w:rFonts w:asciiTheme="majorHAnsi" w:hAnsiTheme="majorHAnsi"/>
          <w:szCs w:val="21"/>
          <w:lang w:eastAsia="en-US"/>
        </w:rPr>
        <w:t>,7 mil.</w:t>
      </w:r>
      <w:r w:rsidR="00821DB8" w:rsidRPr="003700CE">
        <w:rPr>
          <w:rFonts w:asciiTheme="majorHAnsi" w:hAnsiTheme="majorHAnsi"/>
          <w:szCs w:val="21"/>
          <w:lang w:eastAsia="en-US"/>
        </w:rPr>
        <w:t xml:space="preserve"> K</w:t>
      </w:r>
      <w:r w:rsidR="00821DB8" w:rsidRPr="003700CE">
        <w:rPr>
          <w:rFonts w:asciiTheme="majorHAnsi" w:hAnsiTheme="majorHAnsi" w:cs="TimesNewRoman"/>
          <w:szCs w:val="21"/>
          <w:lang w:eastAsia="en-US"/>
        </w:rPr>
        <w:t>č</w:t>
      </w:r>
    </w:p>
    <w:p w:rsidR="00766BB4" w:rsidRPr="003700CE" w:rsidRDefault="00766BB4" w:rsidP="003700CE">
      <w:pPr>
        <w:pStyle w:val="Odstavecseseznamem"/>
        <w:numPr>
          <w:ilvl w:val="0"/>
          <w:numId w:val="42"/>
        </w:numPr>
        <w:rPr>
          <w:rFonts w:asciiTheme="majorHAnsi" w:hAnsiTheme="majorHAnsi"/>
          <w:iCs/>
          <w:szCs w:val="21"/>
        </w:rPr>
      </w:pPr>
      <w:r w:rsidRPr="003700CE">
        <w:rPr>
          <w:rFonts w:asciiTheme="majorHAnsi" w:hAnsiTheme="majorHAnsi"/>
          <w:iCs/>
          <w:szCs w:val="21"/>
        </w:rPr>
        <w:t>20</w:t>
      </w:r>
      <w:r w:rsidR="00F646C2" w:rsidRPr="003700CE">
        <w:rPr>
          <w:rFonts w:asciiTheme="majorHAnsi" w:hAnsiTheme="majorHAnsi"/>
          <w:iCs/>
          <w:szCs w:val="21"/>
        </w:rPr>
        <w:t>25</w:t>
      </w:r>
      <w:r w:rsidRPr="003700CE">
        <w:rPr>
          <w:rFonts w:asciiTheme="majorHAnsi" w:hAnsiTheme="majorHAnsi"/>
          <w:iCs/>
          <w:szCs w:val="21"/>
        </w:rPr>
        <w:t xml:space="preserve"> </w:t>
      </w:r>
      <w:r w:rsidR="00515C36" w:rsidRPr="003700CE">
        <w:rPr>
          <w:rFonts w:asciiTheme="majorHAnsi" w:hAnsiTheme="majorHAnsi"/>
          <w:iCs/>
          <w:szCs w:val="21"/>
        </w:rPr>
        <w:t>–</w:t>
      </w:r>
      <w:r w:rsidRPr="003700CE">
        <w:rPr>
          <w:rFonts w:asciiTheme="majorHAnsi" w:hAnsiTheme="majorHAnsi"/>
          <w:iCs/>
          <w:szCs w:val="21"/>
        </w:rPr>
        <w:t xml:space="preserve"> </w:t>
      </w:r>
      <w:r w:rsidR="007A556D" w:rsidRPr="003700CE">
        <w:rPr>
          <w:rFonts w:asciiTheme="majorHAnsi" w:hAnsiTheme="majorHAnsi"/>
          <w:iCs/>
          <w:szCs w:val="21"/>
        </w:rPr>
        <w:t xml:space="preserve">emise komunálních dluhopisů z roku 2010 ve jmenovité hodnotě 2,0 mld. Kč, </w:t>
      </w:r>
      <w:r w:rsidR="00D74BA3" w:rsidRPr="003700CE">
        <w:rPr>
          <w:rFonts w:asciiTheme="majorHAnsi" w:hAnsiTheme="majorHAnsi"/>
          <w:iCs/>
          <w:szCs w:val="21"/>
        </w:rPr>
        <w:t>k spol</w:t>
      </w:r>
      <w:r w:rsidR="00D74BA3" w:rsidRPr="003700CE">
        <w:rPr>
          <w:rFonts w:asciiTheme="majorHAnsi" w:hAnsiTheme="majorHAnsi"/>
          <w:iCs/>
          <w:szCs w:val="21"/>
        </w:rPr>
        <w:t>u</w:t>
      </w:r>
      <w:r w:rsidR="00D74BA3" w:rsidRPr="003700CE">
        <w:rPr>
          <w:rFonts w:asciiTheme="majorHAnsi" w:hAnsiTheme="majorHAnsi"/>
          <w:iCs/>
          <w:szCs w:val="21"/>
        </w:rPr>
        <w:t xml:space="preserve">financování </w:t>
      </w:r>
      <w:r w:rsidR="001D78A1" w:rsidRPr="003700CE">
        <w:rPr>
          <w:rFonts w:asciiTheme="majorHAnsi" w:hAnsiTheme="majorHAnsi"/>
          <w:iCs/>
          <w:szCs w:val="21"/>
        </w:rPr>
        <w:t>investičních</w:t>
      </w:r>
      <w:r w:rsidR="00D74BA3" w:rsidRPr="003700CE">
        <w:rPr>
          <w:rFonts w:asciiTheme="majorHAnsi" w:hAnsiTheme="majorHAnsi"/>
          <w:iCs/>
          <w:szCs w:val="21"/>
        </w:rPr>
        <w:t xml:space="preserve"> projektů </w:t>
      </w:r>
      <w:r w:rsidR="00515C36" w:rsidRPr="003700CE">
        <w:rPr>
          <w:rFonts w:asciiTheme="majorHAnsi" w:hAnsiTheme="majorHAnsi"/>
          <w:iCs/>
          <w:szCs w:val="21"/>
        </w:rPr>
        <w:t xml:space="preserve"> </w:t>
      </w:r>
    </w:p>
    <w:p w:rsidR="00166172" w:rsidRDefault="00166172" w:rsidP="00166172">
      <w:pPr>
        <w:rPr>
          <w:iCs/>
        </w:rPr>
      </w:pPr>
    </w:p>
    <w:p w:rsidR="00166172" w:rsidRDefault="00166172" w:rsidP="00166172">
      <w:r>
        <w:t>Dluhová služba poskytuje užitečný přehled o výpůjční aktivitě města a o jeho schopnosti splácet dluh.</w:t>
      </w:r>
    </w:p>
    <w:p w:rsidR="00166172" w:rsidRDefault="00166172" w:rsidP="00166172">
      <w:r>
        <w:t>Jediným věřitelem</w:t>
      </w:r>
      <w:r w:rsidRPr="00C47359">
        <w:t xml:space="preserve"> </w:t>
      </w:r>
      <w:r>
        <w:t>SML, který v současnosti drží 100 % restrukturalizovaného dluhu, je Česká spoř</w:t>
      </w:r>
      <w:r>
        <w:t>i</w:t>
      </w:r>
      <w:r>
        <w:t xml:space="preserve">telna. SML se zavázalo každoročně České spořitelně vyplácet úroky z dluhopisu ve výši </w:t>
      </w:r>
      <w:r w:rsidR="007A556D">
        <w:t>cca 100</w:t>
      </w:r>
      <w:r>
        <w:t xml:space="preserve"> mil. Kč, přitom město předpokládá vytváření finanční rezervy ve výši 70 mil. Kč ročně a postupně tak spořit na dobu, kdy bude nutné splatit samotnou jmenovitou hodnotu komunálního dluhopis ve výši 2</w:t>
      </w:r>
      <w:r w:rsidR="003478A4">
        <w:t>,0</w:t>
      </w:r>
      <w:r>
        <w:t xml:space="preserve"> mld. Kč (předpokládaný rok splacení je rok 2025). Vytváření rezervy je pro účely evidence dluh</w:t>
      </w:r>
      <w:r>
        <w:t>o</w:t>
      </w:r>
      <w:r>
        <w:t>vé služby města vedeno jako splátka jistiny. Nicméně do rozpočtového výhledu pro roky 2014 - 2018 tyto fiktivní splátky jistin nezasahují vzhledem k </w:t>
      </w:r>
      <w:r w:rsidR="007A556D">
        <w:t>charakteru</w:t>
      </w:r>
      <w:r>
        <w:t xml:space="preserve"> splátky komunálního dluhopisu, která bude provedena jednorázově. Považujeme za nutné upozornit, že vytváření rezervy ve výši 70 mil. Kč ročně je vzhledem k celkové hodnotě komunálních dluhopisů nedostatečné. Při nereflektování nu</w:t>
      </w:r>
      <w:r>
        <w:t>t</w:t>
      </w:r>
      <w:r>
        <w:t>nosti tvorby vyšších rezerv SML nebude schopno v roce 2025 komunální dluhopis věřiteli splatit.</w:t>
      </w:r>
    </w:p>
    <w:p w:rsidR="007442DE" w:rsidRPr="00AE5AF8" w:rsidRDefault="007442DE" w:rsidP="007442DE">
      <w:pPr>
        <w:pStyle w:val="Titulek"/>
      </w:pPr>
      <w:bookmarkStart w:id="67" w:name="_Toc368988415"/>
      <w:bookmarkStart w:id="68" w:name="_Toc372056185"/>
      <w:bookmarkStart w:id="69" w:name="_Toc374432401"/>
      <w:r w:rsidRPr="007A556D">
        <w:t xml:space="preserve">Tabulka č. </w:t>
      </w:r>
      <w:r w:rsidR="00902CF0" w:rsidRPr="007A556D">
        <w:fldChar w:fldCharType="begin"/>
      </w:r>
      <w:r w:rsidR="0052152F" w:rsidRPr="007A556D">
        <w:instrText xml:space="preserve"> SEQ Tabulka \* ARABIC </w:instrText>
      </w:r>
      <w:r w:rsidR="00902CF0" w:rsidRPr="007A556D">
        <w:fldChar w:fldCharType="separate"/>
      </w:r>
      <w:r w:rsidR="009A23B3">
        <w:rPr>
          <w:noProof/>
        </w:rPr>
        <w:t>7</w:t>
      </w:r>
      <w:r w:rsidR="00902CF0" w:rsidRPr="007A556D">
        <w:fldChar w:fldCharType="end"/>
      </w:r>
      <w:r w:rsidRPr="007A556D">
        <w:rPr>
          <w:szCs w:val="20"/>
        </w:rPr>
        <w:t xml:space="preserve">: </w:t>
      </w:r>
      <w:r w:rsidRPr="007A556D">
        <w:rPr>
          <w:szCs w:val="20"/>
        </w:rPr>
        <w:tab/>
      </w:r>
      <w:r w:rsidRPr="007A556D">
        <w:t>Dluhová služba města v letech 2014 - 2018</w:t>
      </w:r>
      <w:bookmarkEnd w:id="67"/>
      <w:bookmarkEnd w:id="68"/>
      <w:bookmarkEnd w:id="69"/>
    </w:p>
    <w:p w:rsidR="007442DE" w:rsidRPr="00DA4059" w:rsidRDefault="00166172" w:rsidP="007442DE">
      <w:pPr>
        <w:pStyle w:val="Nadpis5"/>
        <w:numPr>
          <w:ilvl w:val="0"/>
          <w:numId w:val="0"/>
        </w:numPr>
        <w:jc w:val="center"/>
        <w:rPr>
          <w:b/>
          <w:lang w:val="cs-CZ"/>
        </w:rPr>
      </w:pPr>
      <w:r w:rsidRPr="00166172">
        <w:rPr>
          <w:noProof/>
          <w:lang w:val="cs-CZ"/>
        </w:rPr>
        <w:drawing>
          <wp:inline distT="0" distB="0" distL="0" distR="0">
            <wp:extent cx="5760720" cy="952827"/>
            <wp:effectExtent l="19050" t="0" r="0" b="0"/>
            <wp:docPr id="66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2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2DE" w:rsidRDefault="007442DE" w:rsidP="007442DE"/>
    <w:p w:rsidR="00F646C2" w:rsidRDefault="008D736A" w:rsidP="001177AD">
      <w:bookmarkStart w:id="70" w:name="_Toc365274609"/>
      <w:bookmarkStart w:id="71" w:name="_Toc368988397"/>
      <w:bookmarkStart w:id="72" w:name="_Toc372056171"/>
      <w:r>
        <w:t>Ukazatel d</w:t>
      </w:r>
      <w:r w:rsidRPr="00150B0C">
        <w:t xml:space="preserve">luhová služba poskytuje užitečný přehled o výpůjční aktivitě města a </w:t>
      </w:r>
      <w:r>
        <w:t xml:space="preserve">o jeho schopnosti splácet dluh. Rozpočtový výhled vychází </w:t>
      </w:r>
      <w:r w:rsidR="00F76C92">
        <w:t xml:space="preserve">ve sledovaném období 2014 – 2018 </w:t>
      </w:r>
      <w:r w:rsidR="00F646C2">
        <w:t>z</w:t>
      </w:r>
      <w:r>
        <w:t xml:space="preserve"> dluhové základny</w:t>
      </w:r>
      <w:r w:rsidR="00166172">
        <w:t xml:space="preserve"> (ekvivalen</w:t>
      </w:r>
      <w:r w:rsidR="00F76C92">
        <w:t>t</w:t>
      </w:r>
      <w:r w:rsidR="00166172">
        <w:t xml:space="preserve"> celkových příjmů) </w:t>
      </w:r>
      <w:r w:rsidR="00F646C2">
        <w:t>v rozmezí od 1 465,6 mil. Kč (</w:t>
      </w:r>
      <w:r w:rsidR="00F646C2" w:rsidRPr="006A07F7">
        <w:t>201</w:t>
      </w:r>
      <w:r w:rsidR="00F76C92" w:rsidRPr="006A07F7">
        <w:t>6</w:t>
      </w:r>
      <w:r w:rsidR="00F646C2">
        <w:t>) do 1</w:t>
      </w:r>
      <w:r w:rsidR="00F76C92">
        <w:t> </w:t>
      </w:r>
      <w:r w:rsidR="00F646C2">
        <w:t>5</w:t>
      </w:r>
      <w:r w:rsidR="00F76C92">
        <w:t>28,5</w:t>
      </w:r>
      <w:r w:rsidR="00F646C2">
        <w:t xml:space="preserve"> mil. Kč (</w:t>
      </w:r>
      <w:r w:rsidR="00F646C2" w:rsidRPr="006A07F7">
        <w:t>201</w:t>
      </w:r>
      <w:r w:rsidR="00F76C92" w:rsidRPr="006A07F7">
        <w:t>8</w:t>
      </w:r>
      <w:r w:rsidR="00F646C2">
        <w:t>) a téměř konstantní dluhové služby</w:t>
      </w:r>
      <w:r>
        <w:t>.</w:t>
      </w:r>
      <w:r w:rsidR="00F646C2">
        <w:t xml:space="preserve"> (101,1 - 102,9 mil. Kč). Do hodnoty indexu </w:t>
      </w:r>
      <w:r w:rsidR="00862917">
        <w:t>nevstupují platby do umořov</w:t>
      </w:r>
      <w:r w:rsidR="00862917">
        <w:t>a</w:t>
      </w:r>
      <w:r w:rsidR="00862917">
        <w:t>cího fondu komunálních dluhopisů (70,0 mil. Kč ročně), ale</w:t>
      </w:r>
      <w:r w:rsidR="00F646C2">
        <w:t xml:space="preserve"> </w:t>
      </w:r>
      <w:r w:rsidR="00862917">
        <w:t>pouze úrokové náklady emise</w:t>
      </w:r>
      <w:r w:rsidR="00F646C2">
        <w:t xml:space="preserve">, proto se ukazatel dluhové služby pohybuje v relativně příznivých hodnotách, a to v rozmezí od </w:t>
      </w:r>
      <w:r w:rsidR="00166172">
        <w:t>6,</w:t>
      </w:r>
      <w:r w:rsidR="007A556D">
        <w:t>66</w:t>
      </w:r>
      <w:r w:rsidR="00166172">
        <w:t xml:space="preserve"> – 7,02 %.</w:t>
      </w:r>
    </w:p>
    <w:p w:rsidR="007442DE" w:rsidRPr="00530881" w:rsidRDefault="007442DE" w:rsidP="007442DE">
      <w:pPr>
        <w:pStyle w:val="graf"/>
      </w:pPr>
      <w:bookmarkStart w:id="73" w:name="_Toc374432394"/>
      <w:r w:rsidRPr="00530881">
        <w:t>Vývoj dluhové služby</w:t>
      </w:r>
      <w:bookmarkEnd w:id="70"/>
      <w:bookmarkEnd w:id="71"/>
      <w:bookmarkEnd w:id="72"/>
      <w:bookmarkEnd w:id="73"/>
    </w:p>
    <w:p w:rsidR="007442DE" w:rsidRPr="0020324D" w:rsidRDefault="007A556D" w:rsidP="007442DE">
      <w:pPr>
        <w:jc w:val="center"/>
      </w:pPr>
      <w:r w:rsidRPr="007A556D">
        <w:rPr>
          <w:noProof/>
        </w:rPr>
        <w:drawing>
          <wp:inline distT="0" distB="0" distL="0" distR="0">
            <wp:extent cx="5760720" cy="2850935"/>
            <wp:effectExtent l="19050" t="0" r="0" b="0"/>
            <wp:docPr id="27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50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BCE" w:rsidRDefault="001B2BCE" w:rsidP="001607A8">
      <w:pPr>
        <w:rPr>
          <w:lang w:val="en-US"/>
        </w:rPr>
      </w:pPr>
    </w:p>
    <w:p w:rsidR="002A1A6A" w:rsidRDefault="002A1A6A" w:rsidP="002A1A6A"/>
    <w:p w:rsidR="002A1A6A" w:rsidRDefault="002A1A6A" w:rsidP="001607A8">
      <w:pPr>
        <w:rPr>
          <w:lang w:val="en-US"/>
        </w:rPr>
      </w:pPr>
    </w:p>
    <w:p w:rsidR="00803120" w:rsidRPr="00B73389" w:rsidRDefault="00803120" w:rsidP="0074240F">
      <w:pPr>
        <w:pStyle w:val="Nadpis1"/>
        <w:rPr>
          <w:lang w:val="cs-CZ"/>
        </w:rPr>
      </w:pPr>
      <w:bookmarkStart w:id="74" w:name="_Toc374432424"/>
      <w:r w:rsidRPr="00B73389">
        <w:rPr>
          <w:lang w:val="cs-CZ"/>
        </w:rPr>
        <w:t>Ekonomické hodnocení města</w:t>
      </w:r>
      <w:bookmarkEnd w:id="74"/>
    </w:p>
    <w:p w:rsidR="00803120" w:rsidRDefault="00803120" w:rsidP="00803120">
      <w:r>
        <w:t>Krátkodobé hodnocení subjektu se provádí na základě analýz příjmů, výdajů, výsledků hospodaření, krátkodobého výhledu a ukazatelů dluhové služby daného roku, roku předešlého a roku následujíc</w:t>
      </w:r>
      <w:r>
        <w:t>í</w:t>
      </w:r>
      <w:r>
        <w:t>ho po daném roce.</w:t>
      </w:r>
      <w:r w:rsidR="001C0747">
        <w:t xml:space="preserve"> </w:t>
      </w:r>
      <w:r>
        <w:t>Dlouhodobé hodnocení subjektu se provádí na základě analýz příjmů, výdajů, výsledků hospodaření a</w:t>
      </w:r>
      <w:r w:rsidR="00C90A8C">
        <w:t> </w:t>
      </w:r>
      <w:r>
        <w:t>ukazatelů dluhové služby v horizontu let 200</w:t>
      </w:r>
      <w:r w:rsidR="001B2BCE">
        <w:t>8</w:t>
      </w:r>
      <w:r>
        <w:t xml:space="preserve"> - 201</w:t>
      </w:r>
      <w:r w:rsidR="001B2BCE">
        <w:t>8</w:t>
      </w:r>
      <w:r>
        <w:t>.</w:t>
      </w:r>
    </w:p>
    <w:p w:rsidR="001C0747" w:rsidRDefault="001C0747" w:rsidP="00803120"/>
    <w:p w:rsidR="00803120" w:rsidRDefault="00803120" w:rsidP="00803120">
      <w:r>
        <w:t>Na základě posouzení minulé schopnosti a ochoty subjektu, dostát včas a řádně všem svým finančním závazkům, s přihlédnutím k aktuální výši závazků města a krátkodobé výše volných finančních zdrojů a</w:t>
      </w:r>
      <w:r w:rsidR="00C90A8C">
        <w:t> </w:t>
      </w:r>
      <w:r>
        <w:t>určení krátkodobé prognózy, přiděluje společnost AQE advisors, a.s. městu krátkodobé hodnocení na úrovni:</w:t>
      </w:r>
    </w:p>
    <w:p w:rsidR="0051701E" w:rsidRDefault="0051701E" w:rsidP="00803120">
      <w:pPr>
        <w:rPr>
          <w:b/>
          <w:sz w:val="28"/>
        </w:rPr>
      </w:pPr>
    </w:p>
    <w:p w:rsidR="00803120" w:rsidRPr="00995A75" w:rsidRDefault="00803120" w:rsidP="00803120">
      <w:pPr>
        <w:rPr>
          <w:b/>
          <w:sz w:val="28"/>
        </w:rPr>
      </w:pPr>
      <w:r w:rsidRPr="00995A75">
        <w:rPr>
          <w:b/>
          <w:sz w:val="28"/>
        </w:rPr>
        <w:t>STR2</w:t>
      </w:r>
    </w:p>
    <w:p w:rsidR="00803120" w:rsidRPr="00995A75" w:rsidRDefault="00803120" w:rsidP="00803120">
      <w:pPr>
        <w:rPr>
          <w:b/>
          <w:sz w:val="24"/>
        </w:rPr>
      </w:pPr>
      <w:r w:rsidRPr="00995A75">
        <w:rPr>
          <w:b/>
          <w:sz w:val="24"/>
        </w:rPr>
        <w:t>Krátkodobě kvalitní subjekt s dobrou schopností splácet své aktuální závazky.</w:t>
      </w:r>
    </w:p>
    <w:p w:rsidR="001B2BCE" w:rsidRPr="007442DE" w:rsidRDefault="001B2BCE" w:rsidP="00803120">
      <w:pPr>
        <w:rPr>
          <w:highlight w:val="yellow"/>
        </w:rPr>
      </w:pPr>
    </w:p>
    <w:p w:rsidR="00803120" w:rsidRDefault="00803120" w:rsidP="00803120">
      <w:r>
        <w:t>Zhodnotili jsme hospodaření města v minulosti, ocenili jsme jeho provozní hospodaření a aktuální výši zadluženost</w:t>
      </w:r>
      <w:r w:rsidR="001511A9">
        <w:t>i</w:t>
      </w:r>
      <w:r>
        <w:t>. Upozorňujeme na dobré a konstantní výsledky hospodaření. V hodnocení se odráží i dosavadní uvážlivá investiční politika města. S ohledem na charakter dosavadních i plánovaných hospodářských výsledků, za předpokladu, že město bude pokračovat v navrženém trendu rozpočt</w:t>
      </w:r>
      <w:r>
        <w:t>o</w:t>
      </w:r>
      <w:r>
        <w:t>vého výhledu hospodaření, tzn.</w:t>
      </w:r>
      <w:r w:rsidR="00D676EA">
        <w:t>,</w:t>
      </w:r>
      <w:r>
        <w:t xml:space="preserve"> že především roční dluhová služba bude kryta z provozních výsledků hospodaření města, přiděluje společnost AQE advisors, a.s. městu dlouhodobé ekonomické hodnoc</w:t>
      </w:r>
      <w:r>
        <w:t>e</w:t>
      </w:r>
      <w:r>
        <w:t>ní na úrovni:</w:t>
      </w:r>
    </w:p>
    <w:p w:rsidR="0051701E" w:rsidRDefault="0051701E" w:rsidP="00803120">
      <w:pPr>
        <w:rPr>
          <w:b/>
          <w:sz w:val="28"/>
        </w:rPr>
      </w:pPr>
    </w:p>
    <w:p w:rsidR="00803120" w:rsidRPr="00995A75" w:rsidRDefault="001C0747" w:rsidP="00803120">
      <w:pPr>
        <w:rPr>
          <w:b/>
          <w:sz w:val="28"/>
        </w:rPr>
      </w:pPr>
      <w:r w:rsidRPr="00995A75">
        <w:rPr>
          <w:b/>
          <w:sz w:val="28"/>
        </w:rPr>
        <w:t>B</w:t>
      </w:r>
      <w:r w:rsidR="00995A75" w:rsidRPr="00995A75">
        <w:rPr>
          <w:b/>
          <w:sz w:val="28"/>
        </w:rPr>
        <w:t>1</w:t>
      </w:r>
      <w:r w:rsidR="001D78A1" w:rsidRPr="00995A75">
        <w:rPr>
          <w:b/>
          <w:sz w:val="28"/>
        </w:rPr>
        <w:t>+</w:t>
      </w:r>
      <w:r w:rsidR="00803120" w:rsidRPr="00995A75">
        <w:rPr>
          <w:b/>
          <w:sz w:val="28"/>
        </w:rPr>
        <w:t xml:space="preserve"> </w:t>
      </w:r>
    </w:p>
    <w:p w:rsidR="001D78A1" w:rsidRPr="001D78A1" w:rsidRDefault="00995A75" w:rsidP="001D78A1">
      <w:pPr>
        <w:jc w:val="left"/>
        <w:rPr>
          <w:b/>
          <w:sz w:val="24"/>
        </w:rPr>
      </w:pPr>
      <w:r>
        <w:rPr>
          <w:b/>
          <w:sz w:val="24"/>
        </w:rPr>
        <w:t>V</w:t>
      </w:r>
      <w:r w:rsidRPr="00995A75">
        <w:rPr>
          <w:b/>
          <w:sz w:val="24"/>
        </w:rPr>
        <w:t>yhovující subjekt, s dostatečnou schopností splácet své aktuální závazky, s neji</w:t>
      </w:r>
      <w:r w:rsidRPr="00995A75">
        <w:rPr>
          <w:b/>
          <w:sz w:val="24"/>
        </w:rPr>
        <w:t>s</w:t>
      </w:r>
      <w:r w:rsidRPr="00995A75">
        <w:rPr>
          <w:b/>
          <w:sz w:val="24"/>
        </w:rPr>
        <w:t>tým budoucím rizikem již v krátkém časovém horizontu</w:t>
      </w:r>
      <w:r w:rsidR="001D78A1" w:rsidRPr="00995A75">
        <w:rPr>
          <w:b/>
          <w:snapToGrid w:val="0"/>
          <w:sz w:val="24"/>
        </w:rPr>
        <w:t>.</w:t>
      </w:r>
    </w:p>
    <w:p w:rsidR="00803120" w:rsidRPr="001C0747" w:rsidRDefault="00803120" w:rsidP="00803120">
      <w:pPr>
        <w:rPr>
          <w:highlight w:val="yellow"/>
        </w:rPr>
      </w:pPr>
    </w:p>
    <w:p w:rsidR="00803120" w:rsidRPr="007442DE" w:rsidRDefault="00803120" w:rsidP="00803120">
      <w:pPr>
        <w:rPr>
          <w:highlight w:val="yellow"/>
        </w:rPr>
      </w:pPr>
    </w:p>
    <w:p w:rsidR="00803120" w:rsidRDefault="00803120" w:rsidP="00803120"/>
    <w:p w:rsidR="007442DE" w:rsidRPr="00F91921" w:rsidRDefault="007442DE" w:rsidP="007442DE">
      <w:pPr>
        <w:pStyle w:val="Nadpis1"/>
        <w:numPr>
          <w:ilvl w:val="0"/>
          <w:numId w:val="0"/>
        </w:numPr>
        <w:ind w:left="432" w:hanging="432"/>
        <w:rPr>
          <w:lang w:val="cs-CZ"/>
        </w:rPr>
      </w:pPr>
      <w:bookmarkStart w:id="75" w:name="_Toc372057524"/>
      <w:bookmarkStart w:id="76" w:name="_Toc374432425"/>
      <w:r w:rsidRPr="00F91921">
        <w:rPr>
          <w:lang w:val="cs-CZ"/>
        </w:rPr>
        <w:t>Závěr</w:t>
      </w:r>
      <w:bookmarkEnd w:id="75"/>
      <w:bookmarkEnd w:id="76"/>
    </w:p>
    <w:p w:rsidR="00530881" w:rsidRDefault="00530881" w:rsidP="00530881">
      <w:r w:rsidRPr="001E4D41">
        <w:t>Rozpočtový výhled pro období 2014 – 2018 vychází z podrobné analýzy hospodař</w:t>
      </w:r>
      <w:r>
        <w:t>ení města v letech 2008 – 2012,</w:t>
      </w:r>
      <w:r w:rsidRPr="001E4D41">
        <w:t xml:space="preserve"> platného rozpočtu roku 2013</w:t>
      </w:r>
      <w:r>
        <w:t xml:space="preserve"> a návrhu rozpočtu na rok 2014</w:t>
      </w:r>
      <w:r w:rsidRPr="001E4D41">
        <w:t>. Na základě těchto analýz, s promítnutím legislativních změn, týkajících se většinou reformy veřejných financí, a současné ek</w:t>
      </w:r>
      <w:r w:rsidRPr="001E4D41">
        <w:t>o</w:t>
      </w:r>
      <w:r w:rsidRPr="001E4D41">
        <w:t>nomické situace, lze učinit následující závěry:</w:t>
      </w:r>
    </w:p>
    <w:p w:rsidR="00530881" w:rsidRPr="001E4D41" w:rsidRDefault="00530881" w:rsidP="00530881"/>
    <w:p w:rsidR="00530881" w:rsidRPr="001E4D41" w:rsidRDefault="00530881" w:rsidP="00530881">
      <w:pPr>
        <w:pStyle w:val="Odstavecseseznamem"/>
      </w:pPr>
      <w:r w:rsidRPr="001E4D41">
        <w:t xml:space="preserve">Hodnota </w:t>
      </w:r>
      <w:r w:rsidRPr="001E4D41">
        <w:rPr>
          <w:b/>
        </w:rPr>
        <w:t>ukazatele dluhové služby</w:t>
      </w:r>
      <w:r w:rsidRPr="001E4D41">
        <w:t xml:space="preserve"> v rozpočtovém výhledu, vypočítaná podle metodiky Mini</w:t>
      </w:r>
      <w:r w:rsidRPr="001E4D41">
        <w:t>s</w:t>
      </w:r>
      <w:r w:rsidRPr="001E4D41">
        <w:t xml:space="preserve">terstva financí, je příznivá a dosahuje max. </w:t>
      </w:r>
      <w:r w:rsidRPr="006F1331">
        <w:rPr>
          <w:b/>
        </w:rPr>
        <w:t>7</w:t>
      </w:r>
      <w:r w:rsidR="000C3B6C">
        <w:rPr>
          <w:b/>
        </w:rPr>
        <w:t>,02</w:t>
      </w:r>
      <w:r w:rsidRPr="001E4D41">
        <w:rPr>
          <w:b/>
        </w:rPr>
        <w:t xml:space="preserve"> % z povolené 25-ti procentní</w:t>
      </w:r>
      <w:r w:rsidRPr="001E4D41">
        <w:t xml:space="preserve"> předepsané hranice a do budoucna se snižuje.</w:t>
      </w:r>
      <w:r w:rsidR="00CE2164">
        <w:t xml:space="preserve"> Vzhledem k charakteru plateb se v ukazateli neodráží platba do umořovacího fondu komunálních dluhopisů</w:t>
      </w:r>
      <w:r w:rsidR="003E670F">
        <w:t xml:space="preserve"> ve výši 70 mil. Kč, ale pouze úrokové náklady emise ve výši cca 100 mil. Kč.</w:t>
      </w:r>
    </w:p>
    <w:p w:rsidR="00CE2164" w:rsidRPr="001E4D41" w:rsidRDefault="00530881" w:rsidP="00CE2164">
      <w:pPr>
        <w:pStyle w:val="Odstavecseseznamem"/>
      </w:pPr>
      <w:r w:rsidRPr="001E4D41">
        <w:t>Hospodaření města je v oblasti provozního rozpočtu vyvážené</w:t>
      </w:r>
      <w:r w:rsidR="000C3B6C">
        <w:t>,</w:t>
      </w:r>
      <w:r>
        <w:t xml:space="preserve"> v návrhu rozpočtu na rok 2014</w:t>
      </w:r>
      <w:r w:rsidR="000C3B6C">
        <w:t xml:space="preserve"> je sice výsledek hospodaření přechodně zhoršený, přesto </w:t>
      </w:r>
      <w:r>
        <w:t xml:space="preserve">je </w:t>
      </w:r>
      <w:r w:rsidR="000C3B6C">
        <w:t xml:space="preserve">možné konstatovat, že </w:t>
      </w:r>
      <w:r>
        <w:t xml:space="preserve">rozpočet </w:t>
      </w:r>
      <w:r w:rsidR="000C3B6C">
        <w:t xml:space="preserve">je v oblasti provozní </w:t>
      </w:r>
      <w:r>
        <w:t xml:space="preserve">stabilizován </w:t>
      </w:r>
      <w:r w:rsidRPr="001E4D41">
        <w:t xml:space="preserve">se zlepšujícím se trendem vývoje. </w:t>
      </w:r>
      <w:r w:rsidR="00CE2164" w:rsidRPr="006F1331">
        <w:rPr>
          <w:b/>
        </w:rPr>
        <w:t xml:space="preserve">Provozní přebytek dosahuje </w:t>
      </w:r>
      <w:r w:rsidR="00CE2164">
        <w:rPr>
          <w:b/>
        </w:rPr>
        <w:t>po celé sledované období</w:t>
      </w:r>
      <w:r w:rsidR="00CE2164" w:rsidRPr="006F1331">
        <w:rPr>
          <w:b/>
        </w:rPr>
        <w:t xml:space="preserve"> kladných hodnot</w:t>
      </w:r>
      <w:r w:rsidR="00CE2164" w:rsidRPr="001E4D41">
        <w:t xml:space="preserve"> a tím městu zůstávají určité finanční zdro</w:t>
      </w:r>
      <w:r w:rsidR="00CE2164">
        <w:t>je na</w:t>
      </w:r>
      <w:r w:rsidR="00CE2164" w:rsidRPr="001E4D41">
        <w:t xml:space="preserve"> investiční výdaje,</w:t>
      </w:r>
      <w:r w:rsidR="00CE2164">
        <w:t xml:space="preserve"> pouze však v omezené výši.</w:t>
      </w:r>
      <w:r w:rsidR="00CE2164" w:rsidRPr="001E4D41">
        <w:t xml:space="preserve"> </w:t>
      </w:r>
      <w:r w:rsidR="00CE2164">
        <w:t>K</w:t>
      </w:r>
      <w:r w:rsidR="00CE2164" w:rsidRPr="001E4D41">
        <w:t>apitálová část rozpočtu je závislá na rozhodov</w:t>
      </w:r>
      <w:r w:rsidR="00CE2164" w:rsidRPr="001E4D41">
        <w:t>á</w:t>
      </w:r>
      <w:r w:rsidR="00CE2164" w:rsidRPr="001E4D41">
        <w:t>ní orgánů města o jednorázových prodejích majetku města, zahajování a realizaci vlastních investic, vyhlašování výzev, předkládání žádostí o podporu a realizaci investic spolufinancov</w:t>
      </w:r>
      <w:r w:rsidR="00CE2164" w:rsidRPr="001E4D41">
        <w:t>a</w:t>
      </w:r>
      <w:r w:rsidR="00CE2164" w:rsidRPr="001E4D41">
        <w:t>ných z fondů EU.</w:t>
      </w:r>
    </w:p>
    <w:p w:rsidR="00530881" w:rsidRPr="001E4D41" w:rsidRDefault="00530881" w:rsidP="00530881">
      <w:pPr>
        <w:pStyle w:val="Odstavecseseznamem"/>
      </w:pPr>
      <w:r w:rsidRPr="00CE2164">
        <w:rPr>
          <w:b/>
        </w:rPr>
        <w:t xml:space="preserve">Saldo </w:t>
      </w:r>
      <w:r w:rsidR="00CE2164" w:rsidRPr="00CE2164">
        <w:rPr>
          <w:b/>
        </w:rPr>
        <w:t xml:space="preserve">bez financování nabývá </w:t>
      </w:r>
      <w:r w:rsidR="00CE2164">
        <w:rPr>
          <w:b/>
        </w:rPr>
        <w:t xml:space="preserve">v každém roce </w:t>
      </w:r>
      <w:r w:rsidR="00CE2164" w:rsidRPr="00CE2164">
        <w:rPr>
          <w:b/>
        </w:rPr>
        <w:t>kladných hodnot, saldo úplné je v roce 2014</w:t>
      </w:r>
      <w:r>
        <w:t xml:space="preserve"> nutné řešit zapojením finančních prostředků minulých let</w:t>
      </w:r>
      <w:r w:rsidR="00CE2164">
        <w:t>.</w:t>
      </w:r>
      <w:r>
        <w:t xml:space="preserve"> </w:t>
      </w:r>
      <w:r w:rsidRPr="001E4D41">
        <w:t>Výsledek krátkodobého ekonomi</w:t>
      </w:r>
      <w:r w:rsidRPr="001E4D41">
        <w:t>c</w:t>
      </w:r>
      <w:r w:rsidRPr="001E4D41">
        <w:t xml:space="preserve">kého hodnocení dokládá, že město </w:t>
      </w:r>
      <w:r>
        <w:t xml:space="preserve">i </w:t>
      </w:r>
      <w:r w:rsidRPr="001E4D41">
        <w:t xml:space="preserve">při uvážlivé hospodářské politice má </w:t>
      </w:r>
      <w:r w:rsidRPr="00CE2164">
        <w:rPr>
          <w:b/>
        </w:rPr>
        <w:t>omezené</w:t>
      </w:r>
      <w:r>
        <w:t xml:space="preserve"> </w:t>
      </w:r>
      <w:r w:rsidRPr="00CE2164">
        <w:rPr>
          <w:b/>
        </w:rPr>
        <w:t>finanční zdroje</w:t>
      </w:r>
      <w:r w:rsidRPr="001E4D41">
        <w:t xml:space="preserve"> ke svému rozvoji</w:t>
      </w:r>
      <w:r w:rsidR="003E670F">
        <w:t>, než jaké byly obvyklé v předešlých letech</w:t>
      </w:r>
      <w:r w:rsidRPr="001E4D41">
        <w:t>.</w:t>
      </w:r>
    </w:p>
    <w:p w:rsidR="00530881" w:rsidRPr="001E4D41" w:rsidRDefault="00530881" w:rsidP="00530881">
      <w:pPr>
        <w:pStyle w:val="Odstavecseseznamem"/>
      </w:pPr>
      <w:r w:rsidRPr="00722E9D">
        <w:t>Dlouhodobé hodnocení m</w:t>
      </w:r>
      <w:r>
        <w:t xml:space="preserve">ěsta ukazuje, že město </w:t>
      </w:r>
      <w:r w:rsidR="003E670F">
        <w:t>má určité</w:t>
      </w:r>
      <w:r>
        <w:t xml:space="preserve"> </w:t>
      </w:r>
      <w:r w:rsidRPr="00722E9D">
        <w:t>volné finanční prostředky na spol</w:t>
      </w:r>
      <w:r w:rsidRPr="00722E9D">
        <w:t>u</w:t>
      </w:r>
      <w:r w:rsidRPr="00722E9D">
        <w:t xml:space="preserve">financování </w:t>
      </w:r>
      <w:r>
        <w:t xml:space="preserve">nákladných </w:t>
      </w:r>
      <w:r w:rsidRPr="00722E9D">
        <w:t>dotačních titulů státu i fondů EU</w:t>
      </w:r>
      <w:r>
        <w:t xml:space="preserve"> (</w:t>
      </w:r>
      <w:r w:rsidRPr="00722E9D">
        <w:t>v oblasti investiční</w:t>
      </w:r>
      <w:r>
        <w:t>)</w:t>
      </w:r>
      <w:r w:rsidRPr="00722E9D">
        <w:t>.</w:t>
      </w:r>
    </w:p>
    <w:p w:rsidR="00530881" w:rsidRDefault="00530881" w:rsidP="00530881">
      <w:pPr>
        <w:pStyle w:val="Odstavecseseznamem"/>
      </w:pPr>
      <w:r w:rsidRPr="009656BD">
        <w:t>Na základě ekonomického hodnocení, odhadu vývoje ekonomické situace a vzhledem k pred</w:t>
      </w:r>
      <w:r w:rsidRPr="009656BD">
        <w:t>i</w:t>
      </w:r>
      <w:r w:rsidRPr="009656BD">
        <w:t>kovanému vývoji nejdůležitější skupiny příjmů (sd</w:t>
      </w:r>
      <w:r w:rsidR="003E670F">
        <w:t xml:space="preserve">ílených daní), kdy je </w:t>
      </w:r>
      <w:r w:rsidRPr="009656BD">
        <w:t xml:space="preserve">vyrovnání výše těchto prostředků v porovnání s rokem 2008 (dosažené maximum příjmů ze sdílených daní) </w:t>
      </w:r>
      <w:r w:rsidR="003E670F">
        <w:t>nebude dosaženo ani do konce rozpočtového výhledu</w:t>
      </w:r>
      <w:r w:rsidRPr="009656BD">
        <w:t xml:space="preserve"> v roce 201</w:t>
      </w:r>
      <w:r w:rsidR="003E670F">
        <w:t>8</w:t>
      </w:r>
      <w:r w:rsidRPr="009656BD">
        <w:t>, mělo by město být maximálně ob</w:t>
      </w:r>
      <w:r w:rsidRPr="009656BD">
        <w:t>e</w:t>
      </w:r>
      <w:r w:rsidRPr="009656BD">
        <w:t>zřetné a snažit se především o hledání rezerv svého hospodaření</w:t>
      </w:r>
      <w:r>
        <w:t xml:space="preserve"> (zejména v provozní části)</w:t>
      </w:r>
      <w:r w:rsidRPr="009656BD">
        <w:t>. Zvláště opatrné by mělo být u investic, jejichž realizace vyvolává následné provozní v</w:t>
      </w:r>
      <w:r>
        <w:t>ýdaje.</w:t>
      </w:r>
    </w:p>
    <w:p w:rsidR="00530881" w:rsidRPr="009656BD" w:rsidRDefault="00530881" w:rsidP="00530881"/>
    <w:p w:rsidR="00530881" w:rsidRDefault="00530881" w:rsidP="00530881">
      <w:r w:rsidRPr="009656BD">
        <w:t>Rozpočtový výhled slouží jako podklad pro rozhodování, plánování a realizaci potřeb a záměrů mě</w:t>
      </w:r>
      <w:r w:rsidRPr="009656BD">
        <w:t>s</w:t>
      </w:r>
      <w:r w:rsidRPr="009656BD">
        <w:t>ta. Jeho přínosy jsou:</w:t>
      </w:r>
    </w:p>
    <w:p w:rsidR="00530881" w:rsidRPr="009656BD" w:rsidRDefault="00530881" w:rsidP="00530881"/>
    <w:p w:rsidR="00530881" w:rsidRPr="009656BD" w:rsidRDefault="00530881" w:rsidP="00530881">
      <w:pPr>
        <w:pStyle w:val="Odstavecseseznamem"/>
      </w:pPr>
      <w:r w:rsidRPr="009656BD">
        <w:t>Zlepšení střednědobého a strategického plánování, kdy se rozhoduje o očekávaných příjmech a výdajích v dlouhodobém horizontu. Rozpočtový výhled přináší informace o tom, jak jsou pl</w:t>
      </w:r>
      <w:r w:rsidRPr="009656BD">
        <w:t>á</w:t>
      </w:r>
      <w:r w:rsidRPr="009656BD">
        <w:t>nované aktivity realizovány a za jakých podmínek.</w:t>
      </w:r>
    </w:p>
    <w:p w:rsidR="00530881" w:rsidRPr="009656BD" w:rsidRDefault="00530881" w:rsidP="00530881">
      <w:pPr>
        <w:pStyle w:val="Odstavecseseznamem"/>
      </w:pPr>
      <w:r w:rsidRPr="009656BD">
        <w:t>Upozorňuje na rizika budoucího hospodaření a umožňuje předcházet jejich vzniku.</w:t>
      </w:r>
    </w:p>
    <w:p w:rsidR="00530881" w:rsidRDefault="00530881" w:rsidP="00530881">
      <w:pPr>
        <w:pStyle w:val="Odstavecseseznamem"/>
      </w:pPr>
      <w:r w:rsidRPr="009656BD">
        <w:t>Slouží i pro řízení závazků města, protože ukazuje na jejich schopnost splácení v budoucnosti. Podporuje jak dlouhodobou vyrovnanost rozpočtového hospodaření, tak i zachování finan</w:t>
      </w:r>
      <w:r>
        <w:t>čního zdraví města.</w:t>
      </w:r>
    </w:p>
    <w:p w:rsidR="00530881" w:rsidRDefault="00530881" w:rsidP="00530881">
      <w:pPr>
        <w:spacing w:line="240" w:lineRule="auto"/>
        <w:jc w:val="left"/>
      </w:pPr>
    </w:p>
    <w:p w:rsidR="00530881" w:rsidRDefault="00530881" w:rsidP="00530881">
      <w:r w:rsidRPr="009656BD">
        <w:t>Je také nutno uvažovat s flexibilitou rozpočtu tak, aby mohly být finanční prostředky použity k spolufinancování získaných dotací z jiných rozpočtů. V rámci běžného rozpočtového roku navrh</w:t>
      </w:r>
      <w:r w:rsidRPr="009656BD">
        <w:t>u</w:t>
      </w:r>
      <w:r w:rsidRPr="009656BD">
        <w:t>jeme důsledné, pravidelné měsíční vyhodnocování rozpočtu a okamžité reagování na případné o</w:t>
      </w:r>
      <w:r w:rsidRPr="009656BD">
        <w:t>d</w:t>
      </w:r>
      <w:r w:rsidRPr="009656BD">
        <w:t>chylky od platného rozpočtu.</w:t>
      </w:r>
    </w:p>
    <w:p w:rsidR="00530881" w:rsidRPr="009656BD" w:rsidRDefault="00530881" w:rsidP="00530881"/>
    <w:p w:rsidR="00530881" w:rsidRDefault="00530881" w:rsidP="00530881">
      <w:r w:rsidRPr="009656BD">
        <w:t>Legislativní změny, spjaté v převážné míře se současnou ekonomickou situací, ztěžují sestavování rozpočtového výhledu. V prvé řadě se jedná o výši sdílených daní, která je a bude závislá na ekon</w:t>
      </w:r>
      <w:r w:rsidRPr="009656BD">
        <w:t>o</w:t>
      </w:r>
      <w:r w:rsidRPr="009656BD">
        <w:t>mické situaci státu a legislativních změnách v této oblasti. Další změny jsou očekávány v oblasti v narovnání úhrady územním samosprávným celkům od státu za vykonávání přenesené působnosti. S ohledem na z</w:t>
      </w:r>
      <w:r>
        <w:t>výšení snížené sazby DPH ze 14 %</w:t>
      </w:r>
      <w:r w:rsidRPr="009656BD">
        <w:t xml:space="preserve"> na 15</w:t>
      </w:r>
      <w:r>
        <w:t xml:space="preserve"> </w:t>
      </w:r>
      <w:r w:rsidRPr="009656BD">
        <w:t>% a základní sazby z</w:t>
      </w:r>
      <w:r>
        <w:t> </w:t>
      </w:r>
      <w:r w:rsidRPr="009656BD">
        <w:t>20</w:t>
      </w:r>
      <w:r>
        <w:t xml:space="preserve"> </w:t>
      </w:r>
      <w:r w:rsidRPr="009656BD">
        <w:t>% na 21</w:t>
      </w:r>
      <w:r>
        <w:t xml:space="preserve"> </w:t>
      </w:r>
      <w:r w:rsidRPr="009656BD">
        <w:t>% je také těžko odhadnutelný vývoj u úhrad za elektřinu, plyn, dodávky tepla a nákup ostatních služ</w:t>
      </w:r>
      <w:r>
        <w:t>eb. O</w:t>
      </w:r>
      <w:r>
        <w:t>b</w:t>
      </w:r>
      <w:r>
        <w:t xml:space="preserve">dobně </w:t>
      </w:r>
      <w:r w:rsidR="00F91921">
        <w:t xml:space="preserve">neurčitý efekt </w:t>
      </w:r>
      <w:r>
        <w:t>může mít také nedávná devizová intervence ČNB.</w:t>
      </w:r>
    </w:p>
    <w:p w:rsidR="00530881" w:rsidRDefault="00530881" w:rsidP="00530881"/>
    <w:p w:rsidR="00530881" w:rsidRDefault="00530881" w:rsidP="00530881">
      <w:r>
        <w:t xml:space="preserve">S ohledem na hospodářskou a legislativní nestabilitu v oblasti sdílených daní, způsobenou jak </w:t>
      </w:r>
      <w:r w:rsidR="00D676EA">
        <w:t>pře</w:t>
      </w:r>
      <w:r w:rsidR="00D676EA">
        <w:t>d</w:t>
      </w:r>
      <w:r w:rsidR="00D676EA">
        <w:t>cházející</w:t>
      </w:r>
      <w:r>
        <w:t xml:space="preserve"> vládou, tak i možnými změnami vlády nové, která vze</w:t>
      </w:r>
      <w:r w:rsidR="00D676EA">
        <w:t>jde</w:t>
      </w:r>
      <w:r>
        <w:t xml:space="preserve"> z voleb v roce 2013, je vývoj predikce hodnot sdílených daní spíše opatrný. Pokud v této oblasti nedojde k zásadním změnám, lze počítat v jednotlivých letech rozpočtového výhledu s cca </w:t>
      </w:r>
      <w:r w:rsidR="00F91921">
        <w:t>10</w:t>
      </w:r>
      <w:r>
        <w:t xml:space="preserve"> - 1</w:t>
      </w:r>
      <w:r w:rsidR="00F91921">
        <w:t>5</w:t>
      </w:r>
      <w:r>
        <w:t xml:space="preserve"> mil. Kč vyššími příjmy ze sdílených daní.</w:t>
      </w:r>
    </w:p>
    <w:p w:rsidR="00A6104D" w:rsidRDefault="00A6104D">
      <w:pPr>
        <w:spacing w:after="200"/>
        <w:jc w:val="left"/>
      </w:pPr>
      <w:r>
        <w:br w:type="page"/>
      </w:r>
    </w:p>
    <w:p w:rsidR="003263C3" w:rsidRPr="00530881" w:rsidRDefault="003263C3" w:rsidP="009B4507">
      <w:pPr>
        <w:pStyle w:val="Titulek"/>
      </w:pPr>
      <w:bookmarkStart w:id="77" w:name="_Toc293672158"/>
      <w:bookmarkStart w:id="78" w:name="_Toc354550551"/>
      <w:bookmarkStart w:id="79" w:name="_Toc374432402"/>
      <w:r w:rsidRPr="00530881">
        <w:t xml:space="preserve">Tabulka </w:t>
      </w:r>
      <w:r w:rsidR="007442DE" w:rsidRPr="00530881">
        <w:t xml:space="preserve">č. </w:t>
      </w:r>
      <w:r w:rsidR="00902CF0" w:rsidRPr="00530881">
        <w:fldChar w:fldCharType="begin"/>
      </w:r>
      <w:r w:rsidRPr="00530881">
        <w:instrText xml:space="preserve"> SEQ Tabulka \* ARABIC </w:instrText>
      </w:r>
      <w:r w:rsidR="00902CF0" w:rsidRPr="00530881">
        <w:fldChar w:fldCharType="separate"/>
      </w:r>
      <w:r w:rsidR="009A23B3">
        <w:rPr>
          <w:noProof/>
        </w:rPr>
        <w:t>8</w:t>
      </w:r>
      <w:r w:rsidR="00902CF0" w:rsidRPr="00530881">
        <w:fldChar w:fldCharType="end"/>
      </w:r>
      <w:r w:rsidRPr="00530881">
        <w:t xml:space="preserve">: </w:t>
      </w:r>
      <w:r w:rsidR="009B4507" w:rsidRPr="00530881">
        <w:tab/>
      </w:r>
      <w:r w:rsidRPr="00530881">
        <w:t>Rozpočtový výhled 2014 – 201</w:t>
      </w:r>
      <w:bookmarkEnd w:id="77"/>
      <w:r w:rsidRPr="00530881">
        <w:t>8</w:t>
      </w:r>
      <w:bookmarkEnd w:id="78"/>
      <w:bookmarkEnd w:id="79"/>
    </w:p>
    <w:p w:rsidR="001B6FAF" w:rsidRDefault="003478A4" w:rsidP="00AE5AF8">
      <w:pPr>
        <w:jc w:val="center"/>
      </w:pPr>
      <w:r w:rsidRPr="003478A4">
        <w:rPr>
          <w:noProof/>
        </w:rPr>
        <w:drawing>
          <wp:inline distT="0" distB="0" distL="0" distR="0">
            <wp:extent cx="5760720" cy="7191628"/>
            <wp:effectExtent l="19050" t="0" r="0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91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FAF" w:rsidRDefault="001B6FAF" w:rsidP="001B6FAF"/>
    <w:p w:rsidR="00803120" w:rsidRPr="00F91921" w:rsidRDefault="00803120" w:rsidP="0046738C">
      <w:pPr>
        <w:pStyle w:val="Nadpis1"/>
        <w:numPr>
          <w:ilvl w:val="0"/>
          <w:numId w:val="0"/>
        </w:numPr>
        <w:ind w:left="432" w:hanging="432"/>
        <w:rPr>
          <w:lang w:val="cs-CZ"/>
        </w:rPr>
      </w:pPr>
      <w:bookmarkStart w:id="80" w:name="_Toc374432426"/>
      <w:r w:rsidRPr="00F91921">
        <w:rPr>
          <w:lang w:val="cs-CZ"/>
        </w:rPr>
        <w:t>Seznam tabulek a grafů</w:t>
      </w:r>
      <w:bookmarkEnd w:id="80"/>
    </w:p>
    <w:p w:rsidR="0046738C" w:rsidRDefault="0046738C">
      <w:pPr>
        <w:pStyle w:val="Seznamobrzk"/>
        <w:tabs>
          <w:tab w:val="left" w:pos="1100"/>
          <w:tab w:val="right" w:leader="dot" w:pos="9062"/>
        </w:tabs>
      </w:pPr>
    </w:p>
    <w:p w:rsidR="006A07F7" w:rsidRDefault="00902CF0">
      <w:pPr>
        <w:pStyle w:val="Seznamobrzk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C1B0B">
        <w:fldChar w:fldCharType="begin"/>
      </w:r>
      <w:r w:rsidR="000E63DD" w:rsidRPr="002C1B0B">
        <w:instrText xml:space="preserve"> TOC \h \z \t "graf" \c </w:instrText>
      </w:r>
      <w:r w:rsidRPr="002C1B0B">
        <w:fldChar w:fldCharType="separate"/>
      </w:r>
      <w:hyperlink w:anchor="_Toc374432380" w:history="1">
        <w:r w:rsidR="006A07F7" w:rsidRPr="00C63F06">
          <w:rPr>
            <w:rStyle w:val="Hypertextovodkaz"/>
            <w:noProof/>
          </w:rPr>
          <w:t>Graf č. 1: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C63F06">
          <w:rPr>
            <w:rStyle w:val="Hypertextovodkaz"/>
            <w:noProof/>
          </w:rPr>
          <w:t>Vývoj sdílených daní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_Toc374432380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7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Seznamobrzk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381" w:history="1">
        <w:r w:rsidR="006A07F7" w:rsidRPr="00C63F06">
          <w:rPr>
            <w:rStyle w:val="Hypertextovodkaz"/>
            <w:noProof/>
          </w:rPr>
          <w:t>Graf č. 2: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C63F06">
          <w:rPr>
            <w:rStyle w:val="Hypertextovodkaz"/>
            <w:noProof/>
          </w:rPr>
          <w:t>Vývoj příjmů, výdajů a salda hospodaření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_Toc374432381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8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Seznamobrzk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382" w:history="1">
        <w:r w:rsidR="006A07F7" w:rsidRPr="00C63F06">
          <w:rPr>
            <w:rStyle w:val="Hypertextovodkaz"/>
            <w:noProof/>
          </w:rPr>
          <w:t>Graf č. 3: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C63F06">
          <w:rPr>
            <w:rStyle w:val="Hypertextovodkaz"/>
            <w:noProof/>
          </w:rPr>
          <w:t>Vývoj příjmů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_Toc374432382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9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Seznamobrzk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383" w:history="1">
        <w:r w:rsidR="006A07F7" w:rsidRPr="00C63F06">
          <w:rPr>
            <w:rStyle w:val="Hypertextovodkaz"/>
            <w:noProof/>
          </w:rPr>
          <w:t>Graf č. 4: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C63F06">
          <w:rPr>
            <w:rStyle w:val="Hypertextovodkaz"/>
            <w:noProof/>
          </w:rPr>
          <w:t>Vývoj výdajů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_Toc374432383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9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Seznamobrzk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384" w:history="1">
        <w:r w:rsidR="006A07F7" w:rsidRPr="00C63F06">
          <w:rPr>
            <w:rStyle w:val="Hypertextovodkaz"/>
            <w:noProof/>
          </w:rPr>
          <w:t>Graf č. 5: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C63F06">
          <w:rPr>
            <w:rStyle w:val="Hypertextovodkaz"/>
            <w:noProof/>
          </w:rPr>
          <w:t>Meziroční změny běžných příjmů a výdajů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_Toc374432384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10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Seznamobrzk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385" w:history="1">
        <w:r w:rsidR="006A07F7" w:rsidRPr="00C63F06">
          <w:rPr>
            <w:rStyle w:val="Hypertextovodkaz"/>
            <w:noProof/>
          </w:rPr>
          <w:t>Graf č. 6: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C63F06">
          <w:rPr>
            <w:rStyle w:val="Hypertextovodkaz"/>
            <w:noProof/>
          </w:rPr>
          <w:t>Vývoj běžných příjmů, výdajů a provozního přebytku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_Toc374432385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10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Seznamobrzk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386" w:history="1">
        <w:r w:rsidR="006A07F7" w:rsidRPr="00C63F06">
          <w:rPr>
            <w:rStyle w:val="Hypertextovodkaz"/>
            <w:noProof/>
          </w:rPr>
          <w:t>Graf č. 7: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C63F06">
          <w:rPr>
            <w:rStyle w:val="Hypertextovodkaz"/>
            <w:noProof/>
          </w:rPr>
          <w:t>Vývoj indexu provozních úspor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_Toc374432386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11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Seznamobrzk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387" w:history="1">
        <w:r w:rsidR="006A07F7" w:rsidRPr="00C63F06">
          <w:rPr>
            <w:rStyle w:val="Hypertextovodkaz"/>
            <w:noProof/>
          </w:rPr>
          <w:t>Graf č. 8: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C63F06">
          <w:rPr>
            <w:rStyle w:val="Hypertextovodkaz"/>
            <w:noProof/>
          </w:rPr>
          <w:t>Vývoj vybraných výdajových skupin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_Toc374432387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11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Seznamobrzk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388" w:history="1">
        <w:r w:rsidR="006A07F7" w:rsidRPr="00C63F06">
          <w:rPr>
            <w:rStyle w:val="Hypertextovodkaz"/>
            <w:noProof/>
          </w:rPr>
          <w:t>Graf č. 9: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C63F06">
          <w:rPr>
            <w:rStyle w:val="Hypertextovodkaz"/>
            <w:noProof/>
          </w:rPr>
          <w:t>Vývoj rozdílu provozního přebytku a splátek jistin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_Toc374432388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12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Seznamobrzk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389" w:history="1">
        <w:r w:rsidR="006A07F7" w:rsidRPr="00C63F06">
          <w:rPr>
            <w:rStyle w:val="Hypertextovodkaz"/>
            <w:noProof/>
          </w:rPr>
          <w:t>Graf č. 10: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C63F06">
          <w:rPr>
            <w:rStyle w:val="Hypertextovodkaz"/>
            <w:noProof/>
          </w:rPr>
          <w:t>Meziroční změny PP a provozních příjmů a výdajů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_Toc374432389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14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Seznamobrzk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390" w:history="1">
        <w:r w:rsidR="006A07F7" w:rsidRPr="00C63F06">
          <w:rPr>
            <w:rStyle w:val="Hypertextovodkaz"/>
            <w:noProof/>
          </w:rPr>
          <w:t>Graf č. 11: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C63F06">
          <w:rPr>
            <w:rStyle w:val="Hypertextovodkaz"/>
            <w:noProof/>
          </w:rPr>
          <w:t>Vývoj hospodaření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_Toc374432390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19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Seznamobrzk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391" w:history="1">
        <w:r w:rsidR="006A07F7" w:rsidRPr="00C63F06">
          <w:rPr>
            <w:rStyle w:val="Hypertextovodkaz"/>
            <w:noProof/>
          </w:rPr>
          <w:t>Graf č. 12: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C63F06">
          <w:rPr>
            <w:rStyle w:val="Hypertextovodkaz"/>
            <w:noProof/>
          </w:rPr>
          <w:t>Vývoj běžných příjmů a výdajů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_Toc374432391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19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Seznamobrzk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392" w:history="1">
        <w:r w:rsidR="006A07F7" w:rsidRPr="00C63F06">
          <w:rPr>
            <w:rStyle w:val="Hypertextovodkaz"/>
            <w:noProof/>
          </w:rPr>
          <w:t>Graf č. 13: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C63F06">
          <w:rPr>
            <w:rStyle w:val="Hypertextovodkaz"/>
            <w:noProof/>
          </w:rPr>
          <w:t>Vývoj provozního přebytku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_Toc374432392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20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Seznamobrzk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393" w:history="1">
        <w:r w:rsidR="006A07F7" w:rsidRPr="00C63F06">
          <w:rPr>
            <w:rStyle w:val="Hypertextovodkaz"/>
            <w:noProof/>
          </w:rPr>
          <w:t>Graf č. 14: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C63F06">
          <w:rPr>
            <w:rStyle w:val="Hypertextovodkaz"/>
            <w:noProof/>
          </w:rPr>
          <w:t>Vývoj indexu provozních úspor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_Toc374432393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20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Seznamobrzk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394" w:history="1">
        <w:r w:rsidR="006A07F7" w:rsidRPr="00C63F06">
          <w:rPr>
            <w:rStyle w:val="Hypertextovodkaz"/>
            <w:noProof/>
          </w:rPr>
          <w:t>Graf č. 15: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C63F06">
          <w:rPr>
            <w:rStyle w:val="Hypertextovodkaz"/>
            <w:noProof/>
          </w:rPr>
          <w:t>Vývoj dluhové služby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_Toc374432394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22</w:t>
        </w:r>
        <w:r w:rsidR="006A07F7">
          <w:rPr>
            <w:noProof/>
            <w:webHidden/>
          </w:rPr>
          <w:fldChar w:fldCharType="end"/>
        </w:r>
      </w:hyperlink>
    </w:p>
    <w:p w:rsidR="000E63DD" w:rsidRDefault="00902CF0">
      <w:pPr>
        <w:spacing w:after="200"/>
        <w:jc w:val="left"/>
      </w:pPr>
      <w:r w:rsidRPr="002C1B0B">
        <w:fldChar w:fldCharType="end"/>
      </w:r>
    </w:p>
    <w:p w:rsidR="006A07F7" w:rsidRDefault="00902CF0">
      <w:pPr>
        <w:pStyle w:val="Seznamobrzk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263C3">
        <w:fldChar w:fldCharType="begin"/>
      </w:r>
      <w:r w:rsidR="003263C3" w:rsidRPr="003263C3">
        <w:instrText xml:space="preserve"> TOC \f F \h \z \c "Tabulka" </w:instrText>
      </w:r>
      <w:r w:rsidRPr="003263C3">
        <w:fldChar w:fldCharType="separate"/>
      </w:r>
      <w:hyperlink w:anchor="_Toc374432395" w:history="1">
        <w:r w:rsidR="006A07F7" w:rsidRPr="009D4CA1">
          <w:rPr>
            <w:rStyle w:val="Hypertextovodkaz"/>
            <w:noProof/>
          </w:rPr>
          <w:t xml:space="preserve">Tabulka č. 1: 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9D4CA1">
          <w:rPr>
            <w:rStyle w:val="Hypertextovodkaz"/>
            <w:noProof/>
          </w:rPr>
          <w:t>Vývoj hospodaření města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_Toc374432395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6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Seznamobrzk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396" w:history="1">
        <w:r w:rsidR="006A07F7" w:rsidRPr="009D4CA1">
          <w:rPr>
            <w:rStyle w:val="Hypertextovodkaz"/>
            <w:noProof/>
          </w:rPr>
          <w:t xml:space="preserve">Tabulka č. 2: 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9D4CA1">
          <w:rPr>
            <w:rStyle w:val="Hypertextovodkaz"/>
            <w:noProof/>
          </w:rPr>
          <w:t>Meziroční změny ukazatelů hospodaření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_Toc374432396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13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Seznamobrzk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397" w:history="1">
        <w:r w:rsidR="006A07F7" w:rsidRPr="009D4CA1">
          <w:rPr>
            <w:rStyle w:val="Hypertextovodkaz"/>
            <w:noProof/>
          </w:rPr>
          <w:t xml:space="preserve">Tabulka č. 3: 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9D4CA1">
          <w:rPr>
            <w:rStyle w:val="Hypertextovodkaz"/>
            <w:noProof/>
          </w:rPr>
          <w:t>Predikce sdílených daní na rok 2013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_Toc374432397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14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Seznamobrzk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398" w:history="1">
        <w:r w:rsidR="006A07F7" w:rsidRPr="009D4CA1">
          <w:rPr>
            <w:rStyle w:val="Hypertextovodkaz"/>
            <w:noProof/>
          </w:rPr>
          <w:t xml:space="preserve">Tabulka č. 4: 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9D4CA1">
          <w:rPr>
            <w:rStyle w:val="Hypertextovodkaz"/>
            <w:noProof/>
          </w:rPr>
          <w:t>Kumulovaný rozpočtový výhled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_Toc374432398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17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Seznamobrzk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399" w:history="1">
        <w:r w:rsidR="006A07F7" w:rsidRPr="009D4CA1">
          <w:rPr>
            <w:rStyle w:val="Hypertextovodkaz"/>
            <w:noProof/>
          </w:rPr>
          <w:t xml:space="preserve">Tabulka č. 5: 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9D4CA1">
          <w:rPr>
            <w:rStyle w:val="Hypertextovodkaz"/>
            <w:noProof/>
          </w:rPr>
          <w:t>Predikce sdílených daní na rok 2014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_Toc374432399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18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Seznamobrzk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400" w:history="1">
        <w:r w:rsidR="006A07F7" w:rsidRPr="009D4CA1">
          <w:rPr>
            <w:rStyle w:val="Hypertextovodkaz"/>
            <w:noProof/>
          </w:rPr>
          <w:t>Tabulka č. 6: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9D4CA1">
          <w:rPr>
            <w:rStyle w:val="Hypertextovodkaz"/>
            <w:noProof/>
          </w:rPr>
          <w:t>Volné finanční prostředky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_Toc374432400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21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Seznamobrzk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401" w:history="1">
        <w:r w:rsidR="006A07F7" w:rsidRPr="009D4CA1">
          <w:rPr>
            <w:rStyle w:val="Hypertextovodkaz"/>
            <w:noProof/>
          </w:rPr>
          <w:t xml:space="preserve">Tabulka č. 7: 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9D4CA1">
          <w:rPr>
            <w:rStyle w:val="Hypertextovodkaz"/>
            <w:noProof/>
          </w:rPr>
          <w:t>Dluhová služba města v letech 2014 - 2018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_Toc374432401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22</w:t>
        </w:r>
        <w:r w:rsidR="006A07F7">
          <w:rPr>
            <w:noProof/>
            <w:webHidden/>
          </w:rPr>
          <w:fldChar w:fldCharType="end"/>
        </w:r>
      </w:hyperlink>
    </w:p>
    <w:p w:rsidR="006A07F7" w:rsidRDefault="00C846C6">
      <w:pPr>
        <w:pStyle w:val="Seznamobrzk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432402" w:history="1">
        <w:r w:rsidR="006A07F7" w:rsidRPr="009D4CA1">
          <w:rPr>
            <w:rStyle w:val="Hypertextovodkaz"/>
            <w:noProof/>
          </w:rPr>
          <w:t xml:space="preserve">Tabulka č. 8: </w:t>
        </w:r>
        <w:r w:rsidR="006A07F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A07F7" w:rsidRPr="009D4CA1">
          <w:rPr>
            <w:rStyle w:val="Hypertextovodkaz"/>
            <w:noProof/>
          </w:rPr>
          <w:t>Rozpočtový výhled 2014 – 2018</w:t>
        </w:r>
        <w:r w:rsidR="006A07F7">
          <w:rPr>
            <w:noProof/>
            <w:webHidden/>
          </w:rPr>
          <w:tab/>
        </w:r>
        <w:r w:rsidR="006A07F7">
          <w:rPr>
            <w:noProof/>
            <w:webHidden/>
          </w:rPr>
          <w:fldChar w:fldCharType="begin"/>
        </w:r>
        <w:r w:rsidR="006A07F7">
          <w:rPr>
            <w:noProof/>
            <w:webHidden/>
          </w:rPr>
          <w:instrText xml:space="preserve"> PAGEREF _Toc374432402 \h </w:instrText>
        </w:r>
        <w:r w:rsidR="006A07F7">
          <w:rPr>
            <w:noProof/>
            <w:webHidden/>
          </w:rPr>
        </w:r>
        <w:r w:rsidR="006A07F7">
          <w:rPr>
            <w:noProof/>
            <w:webHidden/>
          </w:rPr>
          <w:fldChar w:fldCharType="separate"/>
        </w:r>
        <w:r w:rsidR="006A07F7">
          <w:rPr>
            <w:noProof/>
            <w:webHidden/>
          </w:rPr>
          <w:t>26</w:t>
        </w:r>
        <w:r w:rsidR="006A07F7">
          <w:rPr>
            <w:noProof/>
            <w:webHidden/>
          </w:rPr>
          <w:fldChar w:fldCharType="end"/>
        </w:r>
      </w:hyperlink>
    </w:p>
    <w:p w:rsidR="000E63DD" w:rsidRPr="000E63DD" w:rsidRDefault="00902CF0" w:rsidP="000E63DD">
      <w:r w:rsidRPr="003263C3">
        <w:fldChar w:fldCharType="end"/>
      </w:r>
    </w:p>
    <w:p w:rsidR="00803120" w:rsidRPr="0046738C" w:rsidRDefault="00803120" w:rsidP="0046738C">
      <w:pPr>
        <w:pStyle w:val="Nadpis1"/>
        <w:numPr>
          <w:ilvl w:val="0"/>
          <w:numId w:val="0"/>
        </w:numPr>
        <w:ind w:left="432" w:hanging="432"/>
        <w:rPr>
          <w:sz w:val="32"/>
          <w:highlight w:val="yellow"/>
          <w:lang w:val="cs-CZ"/>
        </w:rPr>
      </w:pPr>
      <w:bookmarkStart w:id="81" w:name="_Toc293671796"/>
      <w:bookmarkStart w:id="82" w:name="_Toc374432427"/>
      <w:r w:rsidRPr="0046738C">
        <w:rPr>
          <w:sz w:val="32"/>
          <w:lang w:val="cs-CZ"/>
        </w:rPr>
        <w:t>Stupnice ekonomického hodnocení AQE advisors, a.s.</w:t>
      </w:r>
      <w:bookmarkEnd w:id="81"/>
      <w:bookmarkEnd w:id="82"/>
    </w:p>
    <w:p w:rsidR="00A20550" w:rsidRDefault="00A20550" w:rsidP="00803120"/>
    <w:p w:rsidR="00803120" w:rsidRDefault="00803120" w:rsidP="00803120">
      <w:r>
        <w:t>Krátkodobé hodnocení</w:t>
      </w:r>
    </w:p>
    <w:p w:rsidR="00A20550" w:rsidRDefault="00A20550" w:rsidP="00803120"/>
    <w:tbl>
      <w:tblPr>
        <w:tblW w:w="7441" w:type="dxa"/>
        <w:jc w:val="center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"/>
        <w:gridCol w:w="6451"/>
      </w:tblGrid>
      <w:tr w:rsidR="00051774" w:rsidRPr="00051774" w:rsidTr="00D2543B">
        <w:trPr>
          <w:trHeight w:val="255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051774" w:rsidRPr="00D2543B" w:rsidRDefault="00051774" w:rsidP="00051774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szCs w:val="20"/>
              </w:rPr>
            </w:pPr>
            <w:r w:rsidRPr="00D2543B">
              <w:rPr>
                <w:rFonts w:ascii="Calibri" w:eastAsia="Times New Roman" w:hAnsi="Calibri" w:cs="Calibri"/>
                <w:b/>
                <w:szCs w:val="20"/>
              </w:rPr>
              <w:t>STR1</w:t>
            </w:r>
          </w:p>
        </w:tc>
        <w:tc>
          <w:tcPr>
            <w:tcW w:w="6451" w:type="dxa"/>
            <w:shd w:val="clear" w:color="auto" w:fill="auto"/>
            <w:noWrap/>
            <w:vAlign w:val="bottom"/>
            <w:hideMark/>
          </w:tcPr>
          <w:p w:rsidR="00051774" w:rsidRPr="00051774" w:rsidRDefault="00051774" w:rsidP="00051774">
            <w:pPr>
              <w:spacing w:line="240" w:lineRule="auto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051774">
              <w:rPr>
                <w:rFonts w:ascii="Calibri" w:eastAsia="Times New Roman" w:hAnsi="Calibri" w:cs="Calibri"/>
                <w:szCs w:val="20"/>
              </w:rPr>
              <w:t>Výborné subjekty v plnění svých závazků v krátkém časovém horizontu</w:t>
            </w:r>
          </w:p>
        </w:tc>
      </w:tr>
      <w:tr w:rsidR="00051774" w:rsidRPr="00051774" w:rsidTr="00D2543B">
        <w:trPr>
          <w:trHeight w:val="255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051774" w:rsidRPr="00D2543B" w:rsidRDefault="00051774" w:rsidP="00051774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szCs w:val="20"/>
              </w:rPr>
            </w:pPr>
            <w:r w:rsidRPr="00D2543B">
              <w:rPr>
                <w:rFonts w:ascii="Calibri" w:eastAsia="Times New Roman" w:hAnsi="Calibri" w:cs="Calibri"/>
                <w:b/>
                <w:szCs w:val="20"/>
              </w:rPr>
              <w:t>STR2</w:t>
            </w:r>
          </w:p>
        </w:tc>
        <w:tc>
          <w:tcPr>
            <w:tcW w:w="6451" w:type="dxa"/>
            <w:shd w:val="clear" w:color="auto" w:fill="auto"/>
            <w:noWrap/>
            <w:vAlign w:val="bottom"/>
            <w:hideMark/>
          </w:tcPr>
          <w:p w:rsidR="00051774" w:rsidRPr="00051774" w:rsidRDefault="00051774" w:rsidP="00051774">
            <w:pPr>
              <w:spacing w:line="240" w:lineRule="auto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051774">
              <w:rPr>
                <w:rFonts w:ascii="Calibri" w:eastAsia="Times New Roman" w:hAnsi="Calibri" w:cs="Calibri"/>
                <w:szCs w:val="20"/>
              </w:rPr>
              <w:t>Kvalitní subjekty s dobrou schopností splácet své aktuální závazky</w:t>
            </w:r>
          </w:p>
        </w:tc>
      </w:tr>
      <w:tr w:rsidR="00051774" w:rsidRPr="00051774" w:rsidTr="00D2543B">
        <w:trPr>
          <w:trHeight w:val="255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051774" w:rsidRPr="00D2543B" w:rsidRDefault="00051774" w:rsidP="00051774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szCs w:val="20"/>
              </w:rPr>
            </w:pPr>
            <w:r w:rsidRPr="00D2543B">
              <w:rPr>
                <w:rFonts w:ascii="Calibri" w:eastAsia="Times New Roman" w:hAnsi="Calibri" w:cs="Calibri"/>
                <w:b/>
                <w:szCs w:val="20"/>
              </w:rPr>
              <w:t>STR3</w:t>
            </w:r>
          </w:p>
        </w:tc>
        <w:tc>
          <w:tcPr>
            <w:tcW w:w="6451" w:type="dxa"/>
            <w:shd w:val="clear" w:color="auto" w:fill="auto"/>
            <w:noWrap/>
            <w:vAlign w:val="bottom"/>
            <w:hideMark/>
          </w:tcPr>
          <w:p w:rsidR="00051774" w:rsidRPr="00051774" w:rsidRDefault="00051774" w:rsidP="00051774">
            <w:pPr>
              <w:spacing w:line="240" w:lineRule="auto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051774">
              <w:rPr>
                <w:rFonts w:ascii="Calibri" w:eastAsia="Times New Roman" w:hAnsi="Calibri" w:cs="Calibri"/>
                <w:szCs w:val="20"/>
              </w:rPr>
              <w:t>Vyhovující subjekty dostát svým závazkům včas</w:t>
            </w:r>
          </w:p>
        </w:tc>
      </w:tr>
      <w:tr w:rsidR="00051774" w:rsidRPr="00051774" w:rsidTr="00D2543B">
        <w:trPr>
          <w:trHeight w:val="255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051774" w:rsidRPr="00D2543B" w:rsidRDefault="00051774" w:rsidP="00051774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szCs w:val="20"/>
              </w:rPr>
            </w:pPr>
            <w:r w:rsidRPr="00D2543B">
              <w:rPr>
                <w:rFonts w:ascii="Calibri" w:eastAsia="Times New Roman" w:hAnsi="Calibri" w:cs="Calibri"/>
                <w:b/>
                <w:szCs w:val="20"/>
              </w:rPr>
              <w:t>STR4</w:t>
            </w:r>
          </w:p>
        </w:tc>
        <w:tc>
          <w:tcPr>
            <w:tcW w:w="6451" w:type="dxa"/>
            <w:shd w:val="clear" w:color="auto" w:fill="auto"/>
            <w:noWrap/>
            <w:vAlign w:val="bottom"/>
            <w:hideMark/>
          </w:tcPr>
          <w:p w:rsidR="00051774" w:rsidRPr="00051774" w:rsidRDefault="00051774" w:rsidP="00051774">
            <w:pPr>
              <w:spacing w:line="240" w:lineRule="auto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051774">
              <w:rPr>
                <w:rFonts w:ascii="Calibri" w:eastAsia="Times New Roman" w:hAnsi="Calibri" w:cs="Calibri"/>
                <w:szCs w:val="20"/>
              </w:rPr>
              <w:t>Sporné subjekty s rizikem plnění svých závazků v termínu</w:t>
            </w:r>
          </w:p>
        </w:tc>
      </w:tr>
      <w:tr w:rsidR="00051774" w:rsidRPr="00051774" w:rsidTr="00D2543B">
        <w:trPr>
          <w:trHeight w:val="27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051774" w:rsidRPr="00D2543B" w:rsidRDefault="00051774" w:rsidP="00051774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szCs w:val="20"/>
              </w:rPr>
            </w:pPr>
            <w:r w:rsidRPr="00D2543B">
              <w:rPr>
                <w:rFonts w:ascii="Calibri" w:eastAsia="Times New Roman" w:hAnsi="Calibri" w:cs="Calibri"/>
                <w:b/>
                <w:szCs w:val="20"/>
              </w:rPr>
              <w:t>STR5</w:t>
            </w:r>
          </w:p>
        </w:tc>
        <w:tc>
          <w:tcPr>
            <w:tcW w:w="6451" w:type="dxa"/>
            <w:shd w:val="clear" w:color="auto" w:fill="auto"/>
            <w:noWrap/>
            <w:vAlign w:val="bottom"/>
            <w:hideMark/>
          </w:tcPr>
          <w:p w:rsidR="00051774" w:rsidRPr="00051774" w:rsidRDefault="00051774" w:rsidP="00051774">
            <w:pPr>
              <w:spacing w:line="240" w:lineRule="auto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051774">
              <w:rPr>
                <w:rFonts w:ascii="Calibri" w:eastAsia="Times New Roman" w:hAnsi="Calibri" w:cs="Calibri"/>
                <w:szCs w:val="20"/>
              </w:rPr>
              <w:t>Nevhodné subjekty neschopné plnit své i krátkodobé závazky</w:t>
            </w:r>
          </w:p>
        </w:tc>
      </w:tr>
    </w:tbl>
    <w:p w:rsidR="00803120" w:rsidRDefault="00803120" w:rsidP="00D2543B">
      <w:pPr>
        <w:jc w:val="center"/>
      </w:pPr>
    </w:p>
    <w:p w:rsidR="00A20550" w:rsidRDefault="00A20550" w:rsidP="00803120"/>
    <w:p w:rsidR="00803120" w:rsidRDefault="00803120" w:rsidP="00803120">
      <w:r>
        <w:t>Dlouhodobé hodnocení</w:t>
      </w:r>
    </w:p>
    <w:p w:rsidR="00A20550" w:rsidRDefault="00A20550" w:rsidP="00803120"/>
    <w:tbl>
      <w:tblPr>
        <w:tblW w:w="8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8227"/>
      </w:tblGrid>
      <w:tr w:rsidR="00D2543B" w:rsidRPr="00D2543B" w:rsidTr="00D2543B">
        <w:trPr>
          <w:trHeight w:val="255"/>
          <w:jc w:val="center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A</w:t>
            </w:r>
          </w:p>
        </w:tc>
        <w:tc>
          <w:tcPr>
            <w:tcW w:w="8227" w:type="dxa"/>
            <w:shd w:val="clear" w:color="auto" w:fill="auto"/>
            <w:noWrap/>
            <w:vAlign w:val="bottom"/>
            <w:hideMark/>
          </w:tcPr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výborné subjekty, bez rizika a s vynikající schopností splácet své závazky</w:t>
            </w:r>
          </w:p>
        </w:tc>
      </w:tr>
      <w:tr w:rsidR="00D2543B" w:rsidRPr="00D2543B" w:rsidTr="00D2543B">
        <w:trPr>
          <w:trHeight w:val="520"/>
          <w:jc w:val="center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A1+</w:t>
            </w:r>
          </w:p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A1-</w:t>
            </w:r>
          </w:p>
        </w:tc>
        <w:tc>
          <w:tcPr>
            <w:tcW w:w="8227" w:type="dxa"/>
            <w:shd w:val="clear" w:color="auto" w:fill="auto"/>
            <w:noWrap/>
            <w:vAlign w:val="center"/>
            <w:hideMark/>
          </w:tcPr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velmi dobré subjekty, s výbornou schopností splácet své závazky, s očekávanou stabilní budoucností</w:t>
            </w:r>
          </w:p>
        </w:tc>
      </w:tr>
      <w:tr w:rsidR="00D2543B" w:rsidRPr="00D2543B" w:rsidTr="00D2543B">
        <w:trPr>
          <w:trHeight w:val="520"/>
          <w:jc w:val="center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A2+</w:t>
            </w:r>
          </w:p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A2-</w:t>
            </w:r>
          </w:p>
        </w:tc>
        <w:tc>
          <w:tcPr>
            <w:tcW w:w="8227" w:type="dxa"/>
            <w:shd w:val="clear" w:color="auto" w:fill="auto"/>
            <w:noWrap/>
            <w:vAlign w:val="center"/>
            <w:hideMark/>
          </w:tcPr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dobré (kvalitní) subjekty, s velmi dobrou schopností splácet své závazky, doporučeno sledovat budoucí riziko v delším časovém horizontu</w:t>
            </w:r>
          </w:p>
        </w:tc>
      </w:tr>
      <w:tr w:rsidR="00D2543B" w:rsidRPr="00D2543B" w:rsidTr="00D2543B">
        <w:trPr>
          <w:trHeight w:val="520"/>
          <w:jc w:val="center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B+</w:t>
            </w:r>
          </w:p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B-</w:t>
            </w:r>
          </w:p>
        </w:tc>
        <w:tc>
          <w:tcPr>
            <w:tcW w:w="8227" w:type="dxa"/>
            <w:shd w:val="clear" w:color="auto" w:fill="auto"/>
            <w:noWrap/>
            <w:vAlign w:val="center"/>
            <w:hideMark/>
          </w:tcPr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přijatelné (bonitní) subjekty, s dobrou schopností splácet své závazky, doporučeno sledovat budoucí riziko již ve středním časovém horizontu</w:t>
            </w:r>
          </w:p>
        </w:tc>
      </w:tr>
      <w:tr w:rsidR="00D2543B" w:rsidRPr="00D2543B" w:rsidTr="00D2543B">
        <w:trPr>
          <w:trHeight w:val="520"/>
          <w:jc w:val="center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B1+</w:t>
            </w:r>
          </w:p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B1-</w:t>
            </w:r>
          </w:p>
        </w:tc>
        <w:tc>
          <w:tcPr>
            <w:tcW w:w="8227" w:type="dxa"/>
            <w:shd w:val="clear" w:color="auto" w:fill="auto"/>
            <w:noWrap/>
            <w:vAlign w:val="center"/>
            <w:hideMark/>
          </w:tcPr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vyhovující (uspokojivé) subjekty, s dostatečnou schopností splácet své aktuální závazky, s nejistým b</w:t>
            </w: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u</w:t>
            </w: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doucím rizikem již v krátkém časovém horizontu</w:t>
            </w:r>
          </w:p>
        </w:tc>
      </w:tr>
      <w:tr w:rsidR="00D2543B" w:rsidRPr="00D2543B" w:rsidTr="00D2543B">
        <w:trPr>
          <w:trHeight w:val="520"/>
          <w:jc w:val="center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B2+</w:t>
            </w:r>
          </w:p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B2-</w:t>
            </w:r>
          </w:p>
        </w:tc>
        <w:tc>
          <w:tcPr>
            <w:tcW w:w="8227" w:type="dxa"/>
            <w:shd w:val="clear" w:color="auto" w:fill="auto"/>
            <w:noWrap/>
            <w:vAlign w:val="center"/>
            <w:hideMark/>
          </w:tcPr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průměrné subjekty schopné splácet své aktuální závazky, s problematickou budoucností</w:t>
            </w:r>
          </w:p>
        </w:tc>
      </w:tr>
      <w:tr w:rsidR="00D2543B" w:rsidRPr="00D2543B" w:rsidTr="00D2543B">
        <w:trPr>
          <w:trHeight w:val="520"/>
          <w:jc w:val="center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B3+</w:t>
            </w:r>
          </w:p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B3-</w:t>
            </w:r>
          </w:p>
        </w:tc>
        <w:tc>
          <w:tcPr>
            <w:tcW w:w="8227" w:type="dxa"/>
            <w:shd w:val="clear" w:color="auto" w:fill="auto"/>
            <w:noWrap/>
            <w:vAlign w:val="center"/>
            <w:hideMark/>
          </w:tcPr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podprůměrné subjekty s poměrně rizikovou schopností splácet své závazky, s rizikovou budoucností</w:t>
            </w:r>
          </w:p>
        </w:tc>
      </w:tr>
      <w:tr w:rsidR="00D2543B" w:rsidRPr="00D2543B" w:rsidTr="00D2543B">
        <w:trPr>
          <w:trHeight w:val="520"/>
          <w:jc w:val="center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C+</w:t>
            </w:r>
          </w:p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C-</w:t>
            </w:r>
          </w:p>
        </w:tc>
        <w:tc>
          <w:tcPr>
            <w:tcW w:w="8227" w:type="dxa"/>
            <w:shd w:val="clear" w:color="auto" w:fill="auto"/>
            <w:noWrap/>
            <w:vAlign w:val="center"/>
            <w:hideMark/>
          </w:tcPr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sporný (spekulativní) subjekty s nejistou schopností splácet své závazky, se značně rizikovou budoucností</w:t>
            </w:r>
          </w:p>
        </w:tc>
      </w:tr>
      <w:tr w:rsidR="00D2543B" w:rsidRPr="00D2543B" w:rsidTr="00D2543B">
        <w:trPr>
          <w:trHeight w:val="520"/>
          <w:jc w:val="center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C1+</w:t>
            </w:r>
          </w:p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C1-</w:t>
            </w:r>
          </w:p>
        </w:tc>
        <w:tc>
          <w:tcPr>
            <w:tcW w:w="8227" w:type="dxa"/>
            <w:shd w:val="clear" w:color="auto" w:fill="auto"/>
            <w:noWrap/>
            <w:vAlign w:val="center"/>
            <w:hideMark/>
          </w:tcPr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nevhodné (rizikové) subjekty s nestabilní schopností splácet své závazky, s vysokým rizikem v</w:t>
            </w:r>
            <w:r>
              <w:rPr>
                <w:rFonts w:ascii="Calibri" w:eastAsia="Times New Roman" w:hAnsi="Calibri" w:cs="Calibri"/>
                <w:sz w:val="19"/>
                <w:szCs w:val="19"/>
              </w:rPr>
              <w:t> </w:t>
            </w: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budoucnu</w:t>
            </w:r>
          </w:p>
        </w:tc>
      </w:tr>
      <w:tr w:rsidR="00D2543B" w:rsidRPr="00D2543B" w:rsidTr="00D2543B">
        <w:trPr>
          <w:trHeight w:val="535"/>
          <w:jc w:val="center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C2+</w:t>
            </w:r>
          </w:p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C2-</w:t>
            </w:r>
          </w:p>
        </w:tc>
        <w:tc>
          <w:tcPr>
            <w:tcW w:w="8227" w:type="dxa"/>
            <w:shd w:val="clear" w:color="auto" w:fill="auto"/>
            <w:noWrap/>
            <w:vAlign w:val="center"/>
            <w:hideMark/>
          </w:tcPr>
          <w:p w:rsidR="00D2543B" w:rsidRPr="00D2543B" w:rsidRDefault="00D2543B" w:rsidP="00D2543B">
            <w:pPr>
              <w:spacing w:line="240" w:lineRule="auto"/>
              <w:jc w:val="left"/>
              <w:rPr>
                <w:rFonts w:ascii="Calibri" w:eastAsia="Times New Roman" w:hAnsi="Calibri" w:cs="Calibri"/>
                <w:sz w:val="19"/>
                <w:szCs w:val="19"/>
              </w:rPr>
            </w:pPr>
            <w:r w:rsidRPr="00D2543B">
              <w:rPr>
                <w:rFonts w:ascii="Calibri" w:eastAsia="Times New Roman" w:hAnsi="Calibri" w:cs="Calibri"/>
                <w:sz w:val="19"/>
                <w:szCs w:val="19"/>
              </w:rPr>
              <w:t>nezpůsobilé (vysoce rizikové) subjekty s neschopností a neochotou splácet své závazky</w:t>
            </w:r>
          </w:p>
        </w:tc>
      </w:tr>
    </w:tbl>
    <w:p w:rsidR="00D2543B" w:rsidRDefault="00D2543B" w:rsidP="00803120"/>
    <w:p w:rsidR="00803120" w:rsidRDefault="00803120" w:rsidP="00803120"/>
    <w:p w:rsidR="00803120" w:rsidRDefault="00803120" w:rsidP="00803120"/>
    <w:p w:rsidR="00D2543B" w:rsidRDefault="00D2543B">
      <w:pPr>
        <w:spacing w:after="200"/>
        <w:jc w:val="left"/>
      </w:pPr>
      <w:r>
        <w:br w:type="page"/>
      </w:r>
    </w:p>
    <w:p w:rsidR="00D2543B" w:rsidRDefault="00D2543B" w:rsidP="00D2543B">
      <w:pPr>
        <w:jc w:val="left"/>
      </w:pPr>
    </w:p>
    <w:p w:rsidR="00D2543B" w:rsidRDefault="00D2543B" w:rsidP="00D2543B">
      <w:pPr>
        <w:jc w:val="left"/>
      </w:pPr>
    </w:p>
    <w:p w:rsidR="00803120" w:rsidRDefault="00803120" w:rsidP="00D2543B">
      <w:pPr>
        <w:jc w:val="left"/>
      </w:pPr>
      <w:r>
        <w:t>Zpracovatel:</w:t>
      </w:r>
      <w:r w:rsidR="00D2543B">
        <w:tab/>
      </w:r>
      <w:r w:rsidR="00D2543B">
        <w:tab/>
      </w:r>
      <w:r>
        <w:t>AQE advisors, a.s.</w:t>
      </w:r>
      <w:r w:rsidR="00D2543B">
        <w:br/>
      </w:r>
      <w:r w:rsidR="00D2543B">
        <w:tab/>
      </w:r>
      <w:r w:rsidR="00D2543B">
        <w:tab/>
      </w:r>
      <w:r>
        <w:tab/>
      </w:r>
      <w:r w:rsidR="009656BD">
        <w:t>třída Kapitána Jaroše 31</w:t>
      </w:r>
      <w:r w:rsidR="00D2543B">
        <w:br/>
      </w:r>
      <w:r w:rsidR="00D2543B">
        <w:tab/>
      </w:r>
      <w:r w:rsidR="00D2543B">
        <w:tab/>
      </w:r>
      <w:r>
        <w:tab/>
        <w:t>602 00 Brno</w:t>
      </w:r>
    </w:p>
    <w:p w:rsidR="00D2543B" w:rsidRDefault="00D2543B" w:rsidP="00D2543B">
      <w:pPr>
        <w:jc w:val="left"/>
      </w:pPr>
    </w:p>
    <w:p w:rsidR="00D2543B" w:rsidRDefault="00D2543B" w:rsidP="00D2543B">
      <w:pPr>
        <w:jc w:val="left"/>
      </w:pPr>
    </w:p>
    <w:p w:rsidR="00D2543B" w:rsidRDefault="00D2543B" w:rsidP="00D2543B">
      <w:pPr>
        <w:jc w:val="left"/>
      </w:pPr>
    </w:p>
    <w:p w:rsidR="00D2543B" w:rsidRDefault="00D2543B" w:rsidP="00D2543B">
      <w:pPr>
        <w:jc w:val="left"/>
      </w:pPr>
    </w:p>
    <w:p w:rsidR="00D2543B" w:rsidRDefault="00D2543B" w:rsidP="00D2543B">
      <w:pPr>
        <w:jc w:val="left"/>
      </w:pPr>
    </w:p>
    <w:p w:rsidR="00803120" w:rsidRDefault="00803120" w:rsidP="00D2543B">
      <w:pPr>
        <w:jc w:val="left"/>
      </w:pPr>
      <w:r>
        <w:t>Zpracoval:</w:t>
      </w:r>
      <w:r>
        <w:tab/>
      </w:r>
      <w:r w:rsidR="00D2543B">
        <w:tab/>
      </w:r>
      <w:r w:rsidR="009656BD">
        <w:t>Ing. Jan Obrovský</w:t>
      </w:r>
    </w:p>
    <w:p w:rsidR="00D2543B" w:rsidRDefault="00D2543B" w:rsidP="00D2543B">
      <w:pPr>
        <w:jc w:val="left"/>
      </w:pPr>
    </w:p>
    <w:p w:rsidR="00D2543B" w:rsidRDefault="00D2543B" w:rsidP="00D2543B">
      <w:pPr>
        <w:jc w:val="left"/>
      </w:pPr>
    </w:p>
    <w:p w:rsidR="00D2543B" w:rsidRDefault="00D2543B" w:rsidP="00D2543B">
      <w:pPr>
        <w:jc w:val="left"/>
      </w:pPr>
    </w:p>
    <w:p w:rsidR="00D2543B" w:rsidRDefault="00D2543B" w:rsidP="00D2543B">
      <w:pPr>
        <w:jc w:val="left"/>
      </w:pPr>
    </w:p>
    <w:p w:rsidR="00D2543B" w:rsidRDefault="00D2543B" w:rsidP="00D2543B">
      <w:pPr>
        <w:jc w:val="left"/>
      </w:pPr>
    </w:p>
    <w:p w:rsidR="00803120" w:rsidRDefault="00803120" w:rsidP="00D2543B">
      <w:pPr>
        <w:jc w:val="left"/>
      </w:pPr>
      <w:r>
        <w:t>Vedoucí projektu:</w:t>
      </w:r>
      <w:r>
        <w:tab/>
        <w:t>Ing. Jan Obrovský</w:t>
      </w:r>
    </w:p>
    <w:p w:rsidR="00D2543B" w:rsidRDefault="00D2543B" w:rsidP="00D2543B">
      <w:pPr>
        <w:jc w:val="left"/>
      </w:pPr>
    </w:p>
    <w:p w:rsidR="00D2543B" w:rsidRDefault="00D2543B" w:rsidP="00D2543B">
      <w:pPr>
        <w:jc w:val="left"/>
      </w:pPr>
    </w:p>
    <w:p w:rsidR="00D2543B" w:rsidRDefault="00D2543B" w:rsidP="00D2543B">
      <w:pPr>
        <w:jc w:val="left"/>
      </w:pPr>
    </w:p>
    <w:p w:rsidR="00D2543B" w:rsidRDefault="00D2543B" w:rsidP="00D2543B">
      <w:pPr>
        <w:jc w:val="left"/>
      </w:pPr>
    </w:p>
    <w:p w:rsidR="00D2543B" w:rsidRDefault="00D2543B" w:rsidP="00D2543B">
      <w:pPr>
        <w:jc w:val="left"/>
      </w:pPr>
    </w:p>
    <w:p w:rsidR="00803120" w:rsidRDefault="00803120" w:rsidP="00D2543B">
      <w:pPr>
        <w:jc w:val="left"/>
      </w:pPr>
      <w:r>
        <w:t>Brno</w:t>
      </w:r>
      <w:r w:rsidR="00F91921">
        <w:t>,</w:t>
      </w:r>
      <w:r>
        <w:t xml:space="preserve"> </w:t>
      </w:r>
      <w:r w:rsidR="00E94A2F">
        <w:t>prosinec</w:t>
      </w:r>
      <w:r>
        <w:t xml:space="preserve"> 201</w:t>
      </w:r>
      <w:r w:rsidR="009656BD">
        <w:t>3</w:t>
      </w:r>
    </w:p>
    <w:sectPr w:rsidR="00803120" w:rsidSect="00F048C0">
      <w:headerReference w:type="default" r:id="rId40"/>
      <w:footerReference w:type="default" r:id="rId41"/>
      <w:headerReference w:type="first" r:id="rId42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6C6" w:rsidRDefault="00C846C6" w:rsidP="00486ED9">
      <w:pPr>
        <w:spacing w:line="240" w:lineRule="auto"/>
      </w:pPr>
      <w:r>
        <w:separator/>
      </w:r>
    </w:p>
    <w:p w:rsidR="00C846C6" w:rsidRDefault="00C846C6"/>
  </w:endnote>
  <w:endnote w:type="continuationSeparator" w:id="0">
    <w:p w:rsidR="00C846C6" w:rsidRDefault="00C846C6" w:rsidP="00486ED9">
      <w:pPr>
        <w:spacing w:line="240" w:lineRule="auto"/>
      </w:pPr>
      <w:r>
        <w:continuationSeparator/>
      </w:r>
    </w:p>
    <w:p w:rsidR="00C846C6" w:rsidRDefault="00C846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C92" w:rsidRPr="00AE43AB" w:rsidRDefault="00902CF0" w:rsidP="00DF567D">
    <w:pPr>
      <w:pStyle w:val="Zpat"/>
      <w:jc w:val="right"/>
      <w:rPr>
        <w:szCs w:val="20"/>
      </w:rPr>
    </w:pPr>
    <w:r w:rsidRPr="00AE43AB">
      <w:rPr>
        <w:szCs w:val="20"/>
      </w:rPr>
      <w:fldChar w:fldCharType="begin"/>
    </w:r>
    <w:r w:rsidR="00F76C92" w:rsidRPr="00AE43AB">
      <w:rPr>
        <w:szCs w:val="20"/>
      </w:rPr>
      <w:instrText xml:space="preserve"> PAGE  \* Arabic  \* MERGEFORMAT </w:instrText>
    </w:r>
    <w:r w:rsidRPr="00AE43AB">
      <w:rPr>
        <w:szCs w:val="20"/>
      </w:rPr>
      <w:fldChar w:fldCharType="separate"/>
    </w:r>
    <w:r w:rsidR="00B60E4F">
      <w:rPr>
        <w:noProof/>
        <w:szCs w:val="20"/>
      </w:rPr>
      <w:t>2</w:t>
    </w:r>
    <w:r w:rsidRPr="00AE43AB">
      <w:rPr>
        <w:szCs w:val="20"/>
      </w:rPr>
      <w:fldChar w:fldCharType="end"/>
    </w:r>
  </w:p>
  <w:p w:rsidR="00F76C92" w:rsidRPr="00AE43AB" w:rsidRDefault="00F76C92" w:rsidP="006C4D46">
    <w:pPr>
      <w:pStyle w:val="Zpat"/>
      <w:rPr>
        <w:szCs w:val="20"/>
      </w:rPr>
    </w:pPr>
    <w:r w:rsidRPr="00E94A2F">
      <w:rPr>
        <w:noProof/>
        <w:szCs w:val="20"/>
      </w:rPr>
      <w:drawing>
        <wp:inline distT="0" distB="0" distL="0" distR="0">
          <wp:extent cx="380803" cy="454395"/>
          <wp:effectExtent l="19050" t="0" r="197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729" cy="4578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6C6" w:rsidRDefault="00C846C6" w:rsidP="00486ED9">
      <w:pPr>
        <w:spacing w:line="240" w:lineRule="auto"/>
      </w:pPr>
      <w:r>
        <w:separator/>
      </w:r>
    </w:p>
    <w:p w:rsidR="00C846C6" w:rsidRDefault="00C846C6"/>
  </w:footnote>
  <w:footnote w:type="continuationSeparator" w:id="0">
    <w:p w:rsidR="00C846C6" w:rsidRDefault="00C846C6" w:rsidP="00486ED9">
      <w:pPr>
        <w:spacing w:line="240" w:lineRule="auto"/>
      </w:pPr>
      <w:r>
        <w:continuationSeparator/>
      </w:r>
    </w:p>
    <w:p w:rsidR="00C846C6" w:rsidRDefault="00C846C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C92" w:rsidRDefault="00F76C92" w:rsidP="00C665BA">
    <w:pPr>
      <w:pStyle w:val="Zhlav"/>
      <w:jc w:val="left"/>
    </w:pPr>
  </w:p>
  <w:p w:rsidR="00F76C92" w:rsidRDefault="00F76C92" w:rsidP="00C665BA">
    <w:pPr>
      <w:pStyle w:val="Zhlav"/>
      <w:jc w:val="left"/>
    </w:pPr>
    <w:r>
      <w:rPr>
        <w:noProof/>
      </w:rPr>
      <w:drawing>
        <wp:inline distT="0" distB="0" distL="0" distR="0">
          <wp:extent cx="1350000" cy="432000"/>
          <wp:effectExtent l="0" t="0" r="3175" b="635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QE_Advisors_since_ZnalostDB_FIS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000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76C92" w:rsidRPr="00C665BA" w:rsidRDefault="00F76C92" w:rsidP="00C665BA">
    <w:pPr>
      <w:pStyle w:val="Zhlav"/>
    </w:pPr>
  </w:p>
  <w:p w:rsidR="00F76C92" w:rsidRDefault="00F76C9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C92" w:rsidRDefault="00F76C92" w:rsidP="001F11D8">
    <w:pPr>
      <w:pStyle w:val="Zhlav"/>
      <w:jc w:val="left"/>
    </w:pPr>
  </w:p>
  <w:p w:rsidR="00F76C92" w:rsidRDefault="00F76C92" w:rsidP="001F11D8">
    <w:pPr>
      <w:pStyle w:val="Zhlav"/>
      <w:jc w:val="left"/>
    </w:pPr>
    <w:r>
      <w:rPr>
        <w:noProof/>
      </w:rPr>
      <w:drawing>
        <wp:inline distT="0" distB="0" distL="0" distR="0">
          <wp:extent cx="1350000" cy="432000"/>
          <wp:effectExtent l="0" t="0" r="3175" b="635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QE_Advisors_since_ZnalostDB_FIS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000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76C92" w:rsidRPr="00C665BA" w:rsidRDefault="00F76C92" w:rsidP="001F11D8">
    <w:pPr>
      <w:pStyle w:val="Zhlav"/>
    </w:pPr>
  </w:p>
  <w:p w:rsidR="00F76C92" w:rsidRDefault="00F76C92" w:rsidP="001F11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52B"/>
    <w:multiLevelType w:val="multilevel"/>
    <w:tmpl w:val="1A269BA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02094BC9"/>
    <w:multiLevelType w:val="multilevel"/>
    <w:tmpl w:val="051E934A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5111919"/>
    <w:multiLevelType w:val="hybridMultilevel"/>
    <w:tmpl w:val="1B40B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ED3587"/>
    <w:multiLevelType w:val="hybridMultilevel"/>
    <w:tmpl w:val="9934FF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83D4C"/>
    <w:multiLevelType w:val="multilevel"/>
    <w:tmpl w:val="8CDEB242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>
    <w:nsid w:val="150C3360"/>
    <w:multiLevelType w:val="hybridMultilevel"/>
    <w:tmpl w:val="7A6059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41284"/>
    <w:multiLevelType w:val="hybridMultilevel"/>
    <w:tmpl w:val="09D8105A"/>
    <w:lvl w:ilvl="0" w:tplc="FB98C1D2">
      <w:start w:val="1"/>
      <w:numFmt w:val="decimal"/>
      <w:pStyle w:val="Nadpis5"/>
      <w:lvlText w:val="Tabulka č. %1: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41461"/>
    <w:multiLevelType w:val="hybridMultilevel"/>
    <w:tmpl w:val="E550F0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6B67AE"/>
    <w:multiLevelType w:val="hybridMultilevel"/>
    <w:tmpl w:val="904405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97A9A"/>
    <w:multiLevelType w:val="hybridMultilevel"/>
    <w:tmpl w:val="B392855C"/>
    <w:lvl w:ilvl="0" w:tplc="9494865C">
      <w:start w:val="1"/>
      <w:numFmt w:val="decimal"/>
      <w:pStyle w:val="graf"/>
      <w:lvlText w:val="Graf č. %1: 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A378E"/>
    <w:multiLevelType w:val="multilevel"/>
    <w:tmpl w:val="8CDEB242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1">
    <w:nsid w:val="3A7D204F"/>
    <w:multiLevelType w:val="hybridMultilevel"/>
    <w:tmpl w:val="5706DF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616149"/>
    <w:multiLevelType w:val="hybridMultilevel"/>
    <w:tmpl w:val="DFE01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CC552C"/>
    <w:multiLevelType w:val="multilevel"/>
    <w:tmpl w:val="8CDEB242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4">
    <w:nsid w:val="48FE08B5"/>
    <w:multiLevelType w:val="hybridMultilevel"/>
    <w:tmpl w:val="72FE11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610661"/>
    <w:multiLevelType w:val="hybridMultilevel"/>
    <w:tmpl w:val="CE5A09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0F0197"/>
    <w:multiLevelType w:val="hybridMultilevel"/>
    <w:tmpl w:val="684484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781ECB"/>
    <w:multiLevelType w:val="multilevel"/>
    <w:tmpl w:val="051E934A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8">
    <w:nsid w:val="573A259C"/>
    <w:multiLevelType w:val="hybridMultilevel"/>
    <w:tmpl w:val="2F6219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F473C3"/>
    <w:multiLevelType w:val="hybridMultilevel"/>
    <w:tmpl w:val="997EF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2A1261"/>
    <w:multiLevelType w:val="hybridMultilevel"/>
    <w:tmpl w:val="70AA89C2"/>
    <w:lvl w:ilvl="0" w:tplc="FB7EB9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6D136D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64820940"/>
    <w:multiLevelType w:val="hybridMultilevel"/>
    <w:tmpl w:val="17E64A5E"/>
    <w:lvl w:ilvl="0" w:tplc="2CF05C9A">
      <w:start w:val="1"/>
      <w:numFmt w:val="bullet"/>
      <w:pStyle w:val="Odstavecseseznamem"/>
      <w:lvlText w:val="■"/>
      <w:lvlJc w:val="left"/>
      <w:pPr>
        <w:ind w:left="502" w:hanging="360"/>
      </w:pPr>
      <w:rPr>
        <w:rFonts w:ascii="Arial" w:hAnsi="Arial" w:hint="default"/>
        <w:color w:val="9E292B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83200E2"/>
    <w:multiLevelType w:val="hybridMultilevel"/>
    <w:tmpl w:val="132CC6A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0"/>
  </w:num>
  <w:num w:numId="2">
    <w:abstractNumId w:val="0"/>
  </w:num>
  <w:num w:numId="3">
    <w:abstractNumId w:val="6"/>
  </w:num>
  <w:num w:numId="4">
    <w:abstractNumId w:val="22"/>
  </w:num>
  <w:num w:numId="5">
    <w:abstractNumId w:val="9"/>
  </w:num>
  <w:num w:numId="6">
    <w:abstractNumId w:val="8"/>
  </w:num>
  <w:num w:numId="7">
    <w:abstractNumId w:val="15"/>
  </w:num>
  <w:num w:numId="8">
    <w:abstractNumId w:val="9"/>
  </w:num>
  <w:num w:numId="9">
    <w:abstractNumId w:val="9"/>
  </w:num>
  <w:num w:numId="10">
    <w:abstractNumId w:val="9"/>
  </w:num>
  <w:num w:numId="11">
    <w:abstractNumId w:val="0"/>
  </w:num>
  <w:num w:numId="12">
    <w:abstractNumId w:val="9"/>
  </w:num>
  <w:num w:numId="13">
    <w:abstractNumId w:val="0"/>
  </w:num>
  <w:num w:numId="14">
    <w:abstractNumId w:val="9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11"/>
  </w:num>
  <w:num w:numId="27">
    <w:abstractNumId w:val="3"/>
  </w:num>
  <w:num w:numId="28">
    <w:abstractNumId w:val="5"/>
  </w:num>
  <w:num w:numId="29">
    <w:abstractNumId w:val="21"/>
  </w:num>
  <w:num w:numId="30">
    <w:abstractNumId w:val="14"/>
  </w:num>
  <w:num w:numId="31">
    <w:abstractNumId w:val="17"/>
  </w:num>
  <w:num w:numId="32">
    <w:abstractNumId w:val="1"/>
  </w:num>
  <w:num w:numId="33">
    <w:abstractNumId w:val="4"/>
  </w:num>
  <w:num w:numId="34">
    <w:abstractNumId w:val="10"/>
  </w:num>
  <w:num w:numId="35">
    <w:abstractNumId w:val="13"/>
  </w:num>
  <w:num w:numId="36">
    <w:abstractNumId w:val="16"/>
  </w:num>
  <w:num w:numId="37">
    <w:abstractNumId w:val="23"/>
  </w:num>
  <w:num w:numId="38">
    <w:abstractNumId w:val="12"/>
  </w:num>
  <w:num w:numId="39">
    <w:abstractNumId w:val="7"/>
  </w:num>
  <w:num w:numId="40">
    <w:abstractNumId w:val="2"/>
  </w:num>
  <w:num w:numId="41">
    <w:abstractNumId w:val="18"/>
  </w:num>
  <w:num w:numId="42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consecutiveHyphenLimit w:val="1"/>
  <w:hyphenationZone w:val="425"/>
  <w:doNotHyphenateCaps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ED9"/>
    <w:rsid w:val="000073A5"/>
    <w:rsid w:val="000209D2"/>
    <w:rsid w:val="00020BD4"/>
    <w:rsid w:val="00026AA5"/>
    <w:rsid w:val="00033467"/>
    <w:rsid w:val="0003715B"/>
    <w:rsid w:val="0003730E"/>
    <w:rsid w:val="00041E26"/>
    <w:rsid w:val="000447CB"/>
    <w:rsid w:val="000452EA"/>
    <w:rsid w:val="00051774"/>
    <w:rsid w:val="00051990"/>
    <w:rsid w:val="000541F1"/>
    <w:rsid w:val="000556A3"/>
    <w:rsid w:val="00056212"/>
    <w:rsid w:val="00061212"/>
    <w:rsid w:val="00061473"/>
    <w:rsid w:val="00062888"/>
    <w:rsid w:val="00064384"/>
    <w:rsid w:val="00071201"/>
    <w:rsid w:val="0007308F"/>
    <w:rsid w:val="000750DA"/>
    <w:rsid w:val="00077914"/>
    <w:rsid w:val="00081AFD"/>
    <w:rsid w:val="00092C15"/>
    <w:rsid w:val="00093100"/>
    <w:rsid w:val="000A0E39"/>
    <w:rsid w:val="000A1500"/>
    <w:rsid w:val="000A200F"/>
    <w:rsid w:val="000A332B"/>
    <w:rsid w:val="000A57DB"/>
    <w:rsid w:val="000A688E"/>
    <w:rsid w:val="000B22C7"/>
    <w:rsid w:val="000B2AE1"/>
    <w:rsid w:val="000B451B"/>
    <w:rsid w:val="000C00E9"/>
    <w:rsid w:val="000C068A"/>
    <w:rsid w:val="000C3B6C"/>
    <w:rsid w:val="000C3DB2"/>
    <w:rsid w:val="000D2F0C"/>
    <w:rsid w:val="000D3215"/>
    <w:rsid w:val="000D55D9"/>
    <w:rsid w:val="000D5C99"/>
    <w:rsid w:val="000E0DC0"/>
    <w:rsid w:val="000E3E01"/>
    <w:rsid w:val="000E4E9A"/>
    <w:rsid w:val="000E633A"/>
    <w:rsid w:val="000E63DD"/>
    <w:rsid w:val="000F1ACA"/>
    <w:rsid w:val="000F25C9"/>
    <w:rsid w:val="000F55AE"/>
    <w:rsid w:val="000F55B2"/>
    <w:rsid w:val="00104517"/>
    <w:rsid w:val="00105478"/>
    <w:rsid w:val="00112263"/>
    <w:rsid w:val="00114B41"/>
    <w:rsid w:val="001177AD"/>
    <w:rsid w:val="0012039C"/>
    <w:rsid w:val="0012043E"/>
    <w:rsid w:val="00122208"/>
    <w:rsid w:val="00123E4A"/>
    <w:rsid w:val="00130EDC"/>
    <w:rsid w:val="00131009"/>
    <w:rsid w:val="00140256"/>
    <w:rsid w:val="00142C36"/>
    <w:rsid w:val="0014317D"/>
    <w:rsid w:val="00145CA3"/>
    <w:rsid w:val="001464B4"/>
    <w:rsid w:val="00147998"/>
    <w:rsid w:val="001511A9"/>
    <w:rsid w:val="001607A8"/>
    <w:rsid w:val="00160FFF"/>
    <w:rsid w:val="00161D43"/>
    <w:rsid w:val="00163012"/>
    <w:rsid w:val="001650C2"/>
    <w:rsid w:val="00166172"/>
    <w:rsid w:val="001734A5"/>
    <w:rsid w:val="001773BF"/>
    <w:rsid w:val="00180D26"/>
    <w:rsid w:val="00181906"/>
    <w:rsid w:val="00185338"/>
    <w:rsid w:val="00190518"/>
    <w:rsid w:val="00191A87"/>
    <w:rsid w:val="001938E5"/>
    <w:rsid w:val="001A39CE"/>
    <w:rsid w:val="001B2BCE"/>
    <w:rsid w:val="001B6FAF"/>
    <w:rsid w:val="001C0747"/>
    <w:rsid w:val="001C2291"/>
    <w:rsid w:val="001C2E51"/>
    <w:rsid w:val="001C4CBB"/>
    <w:rsid w:val="001C4DA0"/>
    <w:rsid w:val="001C6051"/>
    <w:rsid w:val="001C7558"/>
    <w:rsid w:val="001D4941"/>
    <w:rsid w:val="001D5750"/>
    <w:rsid w:val="001D5DB8"/>
    <w:rsid w:val="001D78A1"/>
    <w:rsid w:val="001E2CF8"/>
    <w:rsid w:val="001E4D41"/>
    <w:rsid w:val="001F11D8"/>
    <w:rsid w:val="001F2772"/>
    <w:rsid w:val="001F2F3F"/>
    <w:rsid w:val="00204213"/>
    <w:rsid w:val="0020423C"/>
    <w:rsid w:val="00205B42"/>
    <w:rsid w:val="00211122"/>
    <w:rsid w:val="002135E0"/>
    <w:rsid w:val="00213DCC"/>
    <w:rsid w:val="0022328D"/>
    <w:rsid w:val="00223A9E"/>
    <w:rsid w:val="00223D8B"/>
    <w:rsid w:val="0022643B"/>
    <w:rsid w:val="00227A8D"/>
    <w:rsid w:val="002330C5"/>
    <w:rsid w:val="00233427"/>
    <w:rsid w:val="0023590D"/>
    <w:rsid w:val="00245713"/>
    <w:rsid w:val="0025003C"/>
    <w:rsid w:val="00252746"/>
    <w:rsid w:val="0025363B"/>
    <w:rsid w:val="00254C36"/>
    <w:rsid w:val="00264549"/>
    <w:rsid w:val="00272893"/>
    <w:rsid w:val="00272C35"/>
    <w:rsid w:val="00280DE7"/>
    <w:rsid w:val="00281C3B"/>
    <w:rsid w:val="00293BE3"/>
    <w:rsid w:val="00294136"/>
    <w:rsid w:val="002979BF"/>
    <w:rsid w:val="00297A5B"/>
    <w:rsid w:val="002A1A6A"/>
    <w:rsid w:val="002B4984"/>
    <w:rsid w:val="002C1B0B"/>
    <w:rsid w:val="002C3D9E"/>
    <w:rsid w:val="002D1386"/>
    <w:rsid w:val="002D29C8"/>
    <w:rsid w:val="002D54C1"/>
    <w:rsid w:val="002D567E"/>
    <w:rsid w:val="002D5B08"/>
    <w:rsid w:val="002E0784"/>
    <w:rsid w:val="002E2510"/>
    <w:rsid w:val="002E2FF3"/>
    <w:rsid w:val="002E5CBB"/>
    <w:rsid w:val="002F00E4"/>
    <w:rsid w:val="002F6887"/>
    <w:rsid w:val="00300AA4"/>
    <w:rsid w:val="00307A32"/>
    <w:rsid w:val="0031214B"/>
    <w:rsid w:val="00314AA5"/>
    <w:rsid w:val="0031782D"/>
    <w:rsid w:val="00325CA7"/>
    <w:rsid w:val="00325ED2"/>
    <w:rsid w:val="003263C3"/>
    <w:rsid w:val="00326490"/>
    <w:rsid w:val="00343F68"/>
    <w:rsid w:val="003478A4"/>
    <w:rsid w:val="00351757"/>
    <w:rsid w:val="0035347D"/>
    <w:rsid w:val="00361B20"/>
    <w:rsid w:val="00363BEB"/>
    <w:rsid w:val="003700CE"/>
    <w:rsid w:val="00377DF6"/>
    <w:rsid w:val="003806B1"/>
    <w:rsid w:val="00380D5E"/>
    <w:rsid w:val="003935C3"/>
    <w:rsid w:val="00393CF0"/>
    <w:rsid w:val="00397541"/>
    <w:rsid w:val="003976A9"/>
    <w:rsid w:val="003A03F9"/>
    <w:rsid w:val="003A1C47"/>
    <w:rsid w:val="003A5763"/>
    <w:rsid w:val="003B5CC2"/>
    <w:rsid w:val="003C2772"/>
    <w:rsid w:val="003C2DAE"/>
    <w:rsid w:val="003C341B"/>
    <w:rsid w:val="003C6875"/>
    <w:rsid w:val="003D1420"/>
    <w:rsid w:val="003D3E05"/>
    <w:rsid w:val="003D4BC1"/>
    <w:rsid w:val="003E08C9"/>
    <w:rsid w:val="003E314C"/>
    <w:rsid w:val="003E5CFF"/>
    <w:rsid w:val="003E670F"/>
    <w:rsid w:val="003E6C9C"/>
    <w:rsid w:val="003F041D"/>
    <w:rsid w:val="0040224E"/>
    <w:rsid w:val="00404171"/>
    <w:rsid w:val="00412DCE"/>
    <w:rsid w:val="00422C36"/>
    <w:rsid w:val="00433A82"/>
    <w:rsid w:val="00434E3E"/>
    <w:rsid w:val="00436502"/>
    <w:rsid w:val="00437A7A"/>
    <w:rsid w:val="004419A9"/>
    <w:rsid w:val="00443377"/>
    <w:rsid w:val="0044563E"/>
    <w:rsid w:val="004458AC"/>
    <w:rsid w:val="0045349B"/>
    <w:rsid w:val="0046206D"/>
    <w:rsid w:val="0046738C"/>
    <w:rsid w:val="00471478"/>
    <w:rsid w:val="004730E7"/>
    <w:rsid w:val="00474275"/>
    <w:rsid w:val="00477466"/>
    <w:rsid w:val="004846A2"/>
    <w:rsid w:val="00484CA5"/>
    <w:rsid w:val="00485B72"/>
    <w:rsid w:val="00486ED9"/>
    <w:rsid w:val="004905BD"/>
    <w:rsid w:val="00491A42"/>
    <w:rsid w:val="0049412C"/>
    <w:rsid w:val="00497441"/>
    <w:rsid w:val="004978C9"/>
    <w:rsid w:val="004A25AC"/>
    <w:rsid w:val="004A2857"/>
    <w:rsid w:val="004B349E"/>
    <w:rsid w:val="004B785A"/>
    <w:rsid w:val="004C54EA"/>
    <w:rsid w:val="004C594A"/>
    <w:rsid w:val="004C5E20"/>
    <w:rsid w:val="004D0795"/>
    <w:rsid w:val="004D27F8"/>
    <w:rsid w:val="004D2CBD"/>
    <w:rsid w:val="004D36BD"/>
    <w:rsid w:val="004D3BAE"/>
    <w:rsid w:val="004D3BCA"/>
    <w:rsid w:val="004E1820"/>
    <w:rsid w:val="004E33FA"/>
    <w:rsid w:val="004E42A8"/>
    <w:rsid w:val="004F1B63"/>
    <w:rsid w:val="004F3097"/>
    <w:rsid w:val="004F3D91"/>
    <w:rsid w:val="004F46F4"/>
    <w:rsid w:val="0050442C"/>
    <w:rsid w:val="00505A60"/>
    <w:rsid w:val="0050787E"/>
    <w:rsid w:val="00512443"/>
    <w:rsid w:val="005125C8"/>
    <w:rsid w:val="00513009"/>
    <w:rsid w:val="005148B6"/>
    <w:rsid w:val="00515C36"/>
    <w:rsid w:val="0051701E"/>
    <w:rsid w:val="0052152F"/>
    <w:rsid w:val="00527EC5"/>
    <w:rsid w:val="00530881"/>
    <w:rsid w:val="00531BA3"/>
    <w:rsid w:val="00532746"/>
    <w:rsid w:val="005346F5"/>
    <w:rsid w:val="00544450"/>
    <w:rsid w:val="005472B8"/>
    <w:rsid w:val="0055577D"/>
    <w:rsid w:val="005579D5"/>
    <w:rsid w:val="00557CE9"/>
    <w:rsid w:val="005645AB"/>
    <w:rsid w:val="00565281"/>
    <w:rsid w:val="00566660"/>
    <w:rsid w:val="00567AAE"/>
    <w:rsid w:val="00575633"/>
    <w:rsid w:val="005840A3"/>
    <w:rsid w:val="0058437C"/>
    <w:rsid w:val="005846D9"/>
    <w:rsid w:val="00590B14"/>
    <w:rsid w:val="005A2BAE"/>
    <w:rsid w:val="005A48A3"/>
    <w:rsid w:val="005B1AE2"/>
    <w:rsid w:val="005B2F21"/>
    <w:rsid w:val="005B5CC7"/>
    <w:rsid w:val="005B7125"/>
    <w:rsid w:val="005C46C2"/>
    <w:rsid w:val="005D0528"/>
    <w:rsid w:val="005D2C65"/>
    <w:rsid w:val="005D6AA0"/>
    <w:rsid w:val="005E4817"/>
    <w:rsid w:val="005E5B98"/>
    <w:rsid w:val="005E5FD6"/>
    <w:rsid w:val="005E773D"/>
    <w:rsid w:val="005F05BE"/>
    <w:rsid w:val="005F150B"/>
    <w:rsid w:val="005F39C0"/>
    <w:rsid w:val="005F4EFF"/>
    <w:rsid w:val="0061270A"/>
    <w:rsid w:val="0061318D"/>
    <w:rsid w:val="00615CCE"/>
    <w:rsid w:val="0061612B"/>
    <w:rsid w:val="00616312"/>
    <w:rsid w:val="00616488"/>
    <w:rsid w:val="00621745"/>
    <w:rsid w:val="00623403"/>
    <w:rsid w:val="00627933"/>
    <w:rsid w:val="006306EE"/>
    <w:rsid w:val="00632B79"/>
    <w:rsid w:val="006403C7"/>
    <w:rsid w:val="006411C3"/>
    <w:rsid w:val="0064196A"/>
    <w:rsid w:val="00642BD5"/>
    <w:rsid w:val="006467D3"/>
    <w:rsid w:val="006470FA"/>
    <w:rsid w:val="00647118"/>
    <w:rsid w:val="00656B8B"/>
    <w:rsid w:val="00657F31"/>
    <w:rsid w:val="0066231A"/>
    <w:rsid w:val="00662539"/>
    <w:rsid w:val="00663760"/>
    <w:rsid w:val="0066760D"/>
    <w:rsid w:val="00667E56"/>
    <w:rsid w:val="0068274B"/>
    <w:rsid w:val="006846B2"/>
    <w:rsid w:val="00686FBD"/>
    <w:rsid w:val="006871CE"/>
    <w:rsid w:val="00690594"/>
    <w:rsid w:val="00690DA9"/>
    <w:rsid w:val="0069155A"/>
    <w:rsid w:val="0069310A"/>
    <w:rsid w:val="00694513"/>
    <w:rsid w:val="006A03A9"/>
    <w:rsid w:val="006A07F7"/>
    <w:rsid w:val="006A13D7"/>
    <w:rsid w:val="006A1709"/>
    <w:rsid w:val="006B026D"/>
    <w:rsid w:val="006C4D46"/>
    <w:rsid w:val="006C6B88"/>
    <w:rsid w:val="006D3A62"/>
    <w:rsid w:val="006D5C5E"/>
    <w:rsid w:val="006E0E0B"/>
    <w:rsid w:val="006E3D7B"/>
    <w:rsid w:val="006F1331"/>
    <w:rsid w:val="006F1EBE"/>
    <w:rsid w:val="007003B3"/>
    <w:rsid w:val="00700532"/>
    <w:rsid w:val="00703BB2"/>
    <w:rsid w:val="007053BA"/>
    <w:rsid w:val="00714EF8"/>
    <w:rsid w:val="007254FF"/>
    <w:rsid w:val="007306E0"/>
    <w:rsid w:val="00731CE4"/>
    <w:rsid w:val="007405FE"/>
    <w:rsid w:val="0074149E"/>
    <w:rsid w:val="0074240F"/>
    <w:rsid w:val="007442DE"/>
    <w:rsid w:val="00752188"/>
    <w:rsid w:val="007542F9"/>
    <w:rsid w:val="00757BFE"/>
    <w:rsid w:val="00762B7A"/>
    <w:rsid w:val="00762E49"/>
    <w:rsid w:val="00763574"/>
    <w:rsid w:val="00765F88"/>
    <w:rsid w:val="00766BB4"/>
    <w:rsid w:val="00783D08"/>
    <w:rsid w:val="00783E31"/>
    <w:rsid w:val="00785A77"/>
    <w:rsid w:val="0078696C"/>
    <w:rsid w:val="00786A6C"/>
    <w:rsid w:val="00792FC6"/>
    <w:rsid w:val="007966FA"/>
    <w:rsid w:val="007A0C97"/>
    <w:rsid w:val="007A170A"/>
    <w:rsid w:val="007A1D9D"/>
    <w:rsid w:val="007A2A8A"/>
    <w:rsid w:val="007A2CAB"/>
    <w:rsid w:val="007A556D"/>
    <w:rsid w:val="007A6BB1"/>
    <w:rsid w:val="007A77D0"/>
    <w:rsid w:val="007B0C22"/>
    <w:rsid w:val="007C1828"/>
    <w:rsid w:val="007C3FCC"/>
    <w:rsid w:val="007D3B85"/>
    <w:rsid w:val="007D7959"/>
    <w:rsid w:val="007F1B23"/>
    <w:rsid w:val="007F5EB7"/>
    <w:rsid w:val="00800744"/>
    <w:rsid w:val="00800D3E"/>
    <w:rsid w:val="00803120"/>
    <w:rsid w:val="00812CB1"/>
    <w:rsid w:val="00813F98"/>
    <w:rsid w:val="008150D4"/>
    <w:rsid w:val="008174A6"/>
    <w:rsid w:val="008202BE"/>
    <w:rsid w:val="00821DB8"/>
    <w:rsid w:val="00824C88"/>
    <w:rsid w:val="00833589"/>
    <w:rsid w:val="00833BC7"/>
    <w:rsid w:val="00835C1F"/>
    <w:rsid w:val="008368E0"/>
    <w:rsid w:val="00840D2D"/>
    <w:rsid w:val="008429BE"/>
    <w:rsid w:val="00842EB2"/>
    <w:rsid w:val="00845D3B"/>
    <w:rsid w:val="00850E8F"/>
    <w:rsid w:val="00851069"/>
    <w:rsid w:val="00852C10"/>
    <w:rsid w:val="00853F28"/>
    <w:rsid w:val="00856E3C"/>
    <w:rsid w:val="008605E6"/>
    <w:rsid w:val="00862917"/>
    <w:rsid w:val="0087113F"/>
    <w:rsid w:val="00880888"/>
    <w:rsid w:val="008810B2"/>
    <w:rsid w:val="00882121"/>
    <w:rsid w:val="00885622"/>
    <w:rsid w:val="0089381E"/>
    <w:rsid w:val="008A3A54"/>
    <w:rsid w:val="008A4854"/>
    <w:rsid w:val="008B3C52"/>
    <w:rsid w:val="008B6ED5"/>
    <w:rsid w:val="008B76CB"/>
    <w:rsid w:val="008B79D8"/>
    <w:rsid w:val="008C3B40"/>
    <w:rsid w:val="008C43DF"/>
    <w:rsid w:val="008C5C5B"/>
    <w:rsid w:val="008D736A"/>
    <w:rsid w:val="008E29AC"/>
    <w:rsid w:val="008E43CB"/>
    <w:rsid w:val="008F2422"/>
    <w:rsid w:val="008F2554"/>
    <w:rsid w:val="008F3C52"/>
    <w:rsid w:val="008F73C1"/>
    <w:rsid w:val="008F790D"/>
    <w:rsid w:val="00900533"/>
    <w:rsid w:val="00901F45"/>
    <w:rsid w:val="00902CF0"/>
    <w:rsid w:val="0090496A"/>
    <w:rsid w:val="009053B0"/>
    <w:rsid w:val="00911D4D"/>
    <w:rsid w:val="00913081"/>
    <w:rsid w:val="00921C83"/>
    <w:rsid w:val="00922C66"/>
    <w:rsid w:val="00926C7A"/>
    <w:rsid w:val="009306C6"/>
    <w:rsid w:val="00940473"/>
    <w:rsid w:val="009465B4"/>
    <w:rsid w:val="00960A82"/>
    <w:rsid w:val="0096273D"/>
    <w:rsid w:val="009656BD"/>
    <w:rsid w:val="00966A62"/>
    <w:rsid w:val="00967C5A"/>
    <w:rsid w:val="0097139C"/>
    <w:rsid w:val="00977471"/>
    <w:rsid w:val="009820C4"/>
    <w:rsid w:val="0098688D"/>
    <w:rsid w:val="00986EB8"/>
    <w:rsid w:val="009915F5"/>
    <w:rsid w:val="00991AB3"/>
    <w:rsid w:val="00994608"/>
    <w:rsid w:val="00995A75"/>
    <w:rsid w:val="009A0263"/>
    <w:rsid w:val="009A1324"/>
    <w:rsid w:val="009A23B3"/>
    <w:rsid w:val="009A4778"/>
    <w:rsid w:val="009A4DFE"/>
    <w:rsid w:val="009A7D97"/>
    <w:rsid w:val="009B042F"/>
    <w:rsid w:val="009B4507"/>
    <w:rsid w:val="009B6738"/>
    <w:rsid w:val="009B70B6"/>
    <w:rsid w:val="009B76F1"/>
    <w:rsid w:val="009C22D6"/>
    <w:rsid w:val="009C4AD5"/>
    <w:rsid w:val="009C4C2B"/>
    <w:rsid w:val="009C797F"/>
    <w:rsid w:val="009D7160"/>
    <w:rsid w:val="009F27C4"/>
    <w:rsid w:val="009F5137"/>
    <w:rsid w:val="009F5DFB"/>
    <w:rsid w:val="00A0708D"/>
    <w:rsid w:val="00A10437"/>
    <w:rsid w:val="00A1063C"/>
    <w:rsid w:val="00A12CF2"/>
    <w:rsid w:val="00A13706"/>
    <w:rsid w:val="00A156EF"/>
    <w:rsid w:val="00A16341"/>
    <w:rsid w:val="00A20550"/>
    <w:rsid w:val="00A275CA"/>
    <w:rsid w:val="00A3111F"/>
    <w:rsid w:val="00A364B5"/>
    <w:rsid w:val="00A37D24"/>
    <w:rsid w:val="00A47270"/>
    <w:rsid w:val="00A57057"/>
    <w:rsid w:val="00A5798D"/>
    <w:rsid w:val="00A6104D"/>
    <w:rsid w:val="00A6205C"/>
    <w:rsid w:val="00A6217E"/>
    <w:rsid w:val="00A63525"/>
    <w:rsid w:val="00A65FEC"/>
    <w:rsid w:val="00A747E0"/>
    <w:rsid w:val="00A81B03"/>
    <w:rsid w:val="00A8257C"/>
    <w:rsid w:val="00A86283"/>
    <w:rsid w:val="00A929F2"/>
    <w:rsid w:val="00A936F4"/>
    <w:rsid w:val="00A95DC7"/>
    <w:rsid w:val="00A97451"/>
    <w:rsid w:val="00AA0238"/>
    <w:rsid w:val="00AA2301"/>
    <w:rsid w:val="00AA4811"/>
    <w:rsid w:val="00AB1393"/>
    <w:rsid w:val="00AB5B28"/>
    <w:rsid w:val="00AC3350"/>
    <w:rsid w:val="00AC48ED"/>
    <w:rsid w:val="00AC706B"/>
    <w:rsid w:val="00AD52EE"/>
    <w:rsid w:val="00AD6069"/>
    <w:rsid w:val="00AE399B"/>
    <w:rsid w:val="00AE3F13"/>
    <w:rsid w:val="00AE43AB"/>
    <w:rsid w:val="00AE4BE1"/>
    <w:rsid w:val="00AE5AF8"/>
    <w:rsid w:val="00AF4B69"/>
    <w:rsid w:val="00B001AB"/>
    <w:rsid w:val="00B00DE2"/>
    <w:rsid w:val="00B01FF6"/>
    <w:rsid w:val="00B12CEA"/>
    <w:rsid w:val="00B27BE1"/>
    <w:rsid w:val="00B31523"/>
    <w:rsid w:val="00B4779D"/>
    <w:rsid w:val="00B54CD1"/>
    <w:rsid w:val="00B55FC4"/>
    <w:rsid w:val="00B60E4F"/>
    <w:rsid w:val="00B62F1B"/>
    <w:rsid w:val="00B6444B"/>
    <w:rsid w:val="00B644CF"/>
    <w:rsid w:val="00B71BBD"/>
    <w:rsid w:val="00B72448"/>
    <w:rsid w:val="00B73389"/>
    <w:rsid w:val="00B824C3"/>
    <w:rsid w:val="00B83772"/>
    <w:rsid w:val="00B862AD"/>
    <w:rsid w:val="00B90D2F"/>
    <w:rsid w:val="00B957AD"/>
    <w:rsid w:val="00B9683C"/>
    <w:rsid w:val="00B96B3C"/>
    <w:rsid w:val="00BA27DB"/>
    <w:rsid w:val="00BB2990"/>
    <w:rsid w:val="00BB3056"/>
    <w:rsid w:val="00BB6B35"/>
    <w:rsid w:val="00BC3A85"/>
    <w:rsid w:val="00BC5E2B"/>
    <w:rsid w:val="00BC7474"/>
    <w:rsid w:val="00BC7535"/>
    <w:rsid w:val="00BC7665"/>
    <w:rsid w:val="00BD2126"/>
    <w:rsid w:val="00BD3031"/>
    <w:rsid w:val="00BD6CAC"/>
    <w:rsid w:val="00BF516A"/>
    <w:rsid w:val="00BF5242"/>
    <w:rsid w:val="00C040F3"/>
    <w:rsid w:val="00C10D8A"/>
    <w:rsid w:val="00C11851"/>
    <w:rsid w:val="00C13D85"/>
    <w:rsid w:val="00C1588C"/>
    <w:rsid w:val="00C16D1C"/>
    <w:rsid w:val="00C16F72"/>
    <w:rsid w:val="00C17382"/>
    <w:rsid w:val="00C20BCD"/>
    <w:rsid w:val="00C212F0"/>
    <w:rsid w:val="00C21BB5"/>
    <w:rsid w:val="00C23C4B"/>
    <w:rsid w:val="00C3521A"/>
    <w:rsid w:val="00C36443"/>
    <w:rsid w:val="00C41FF6"/>
    <w:rsid w:val="00C444D4"/>
    <w:rsid w:val="00C56822"/>
    <w:rsid w:val="00C57FC7"/>
    <w:rsid w:val="00C65977"/>
    <w:rsid w:val="00C665BA"/>
    <w:rsid w:val="00C833BD"/>
    <w:rsid w:val="00C83825"/>
    <w:rsid w:val="00C846C6"/>
    <w:rsid w:val="00C876B9"/>
    <w:rsid w:val="00C90A8C"/>
    <w:rsid w:val="00C93665"/>
    <w:rsid w:val="00CA7D61"/>
    <w:rsid w:val="00CB05AB"/>
    <w:rsid w:val="00CB5AB8"/>
    <w:rsid w:val="00CD5228"/>
    <w:rsid w:val="00CD7203"/>
    <w:rsid w:val="00CD7B0D"/>
    <w:rsid w:val="00CE2164"/>
    <w:rsid w:val="00CE434B"/>
    <w:rsid w:val="00CE4FF6"/>
    <w:rsid w:val="00D013EA"/>
    <w:rsid w:val="00D03439"/>
    <w:rsid w:val="00D03EA8"/>
    <w:rsid w:val="00D0560A"/>
    <w:rsid w:val="00D1470A"/>
    <w:rsid w:val="00D20782"/>
    <w:rsid w:val="00D20BB6"/>
    <w:rsid w:val="00D2177B"/>
    <w:rsid w:val="00D2313D"/>
    <w:rsid w:val="00D235A7"/>
    <w:rsid w:val="00D2543B"/>
    <w:rsid w:val="00D44277"/>
    <w:rsid w:val="00D44A3F"/>
    <w:rsid w:val="00D465E4"/>
    <w:rsid w:val="00D4686F"/>
    <w:rsid w:val="00D5139F"/>
    <w:rsid w:val="00D5219C"/>
    <w:rsid w:val="00D52725"/>
    <w:rsid w:val="00D52B26"/>
    <w:rsid w:val="00D53616"/>
    <w:rsid w:val="00D55860"/>
    <w:rsid w:val="00D674ED"/>
    <w:rsid w:val="00D676EA"/>
    <w:rsid w:val="00D70A53"/>
    <w:rsid w:val="00D70E2B"/>
    <w:rsid w:val="00D71202"/>
    <w:rsid w:val="00D74BA3"/>
    <w:rsid w:val="00D824F6"/>
    <w:rsid w:val="00D8349B"/>
    <w:rsid w:val="00D84378"/>
    <w:rsid w:val="00D87570"/>
    <w:rsid w:val="00DA4059"/>
    <w:rsid w:val="00DA57DE"/>
    <w:rsid w:val="00DA6FDD"/>
    <w:rsid w:val="00DA774C"/>
    <w:rsid w:val="00DB44B4"/>
    <w:rsid w:val="00DB7112"/>
    <w:rsid w:val="00DC3955"/>
    <w:rsid w:val="00DC644E"/>
    <w:rsid w:val="00DC67DA"/>
    <w:rsid w:val="00DC68EA"/>
    <w:rsid w:val="00DD7E02"/>
    <w:rsid w:val="00DE4659"/>
    <w:rsid w:val="00DE5242"/>
    <w:rsid w:val="00DF0E83"/>
    <w:rsid w:val="00DF1C4A"/>
    <w:rsid w:val="00DF30AF"/>
    <w:rsid w:val="00DF3474"/>
    <w:rsid w:val="00DF567D"/>
    <w:rsid w:val="00E02675"/>
    <w:rsid w:val="00E16299"/>
    <w:rsid w:val="00E224C4"/>
    <w:rsid w:val="00E2285D"/>
    <w:rsid w:val="00E33463"/>
    <w:rsid w:val="00E3521F"/>
    <w:rsid w:val="00E417B5"/>
    <w:rsid w:val="00E42484"/>
    <w:rsid w:val="00E43448"/>
    <w:rsid w:val="00E434FF"/>
    <w:rsid w:val="00E46D1B"/>
    <w:rsid w:val="00E54BDF"/>
    <w:rsid w:val="00E552D8"/>
    <w:rsid w:val="00E56307"/>
    <w:rsid w:val="00E56556"/>
    <w:rsid w:val="00E61FF4"/>
    <w:rsid w:val="00E6723E"/>
    <w:rsid w:val="00E70C78"/>
    <w:rsid w:val="00E730C3"/>
    <w:rsid w:val="00E73D22"/>
    <w:rsid w:val="00E760DE"/>
    <w:rsid w:val="00E80C01"/>
    <w:rsid w:val="00E82696"/>
    <w:rsid w:val="00E82CDD"/>
    <w:rsid w:val="00E83528"/>
    <w:rsid w:val="00E864D6"/>
    <w:rsid w:val="00E90ED2"/>
    <w:rsid w:val="00E91CA4"/>
    <w:rsid w:val="00E94A2F"/>
    <w:rsid w:val="00EA1526"/>
    <w:rsid w:val="00EA2540"/>
    <w:rsid w:val="00EA7BCE"/>
    <w:rsid w:val="00EB1CBB"/>
    <w:rsid w:val="00EB1DBE"/>
    <w:rsid w:val="00EB2EEA"/>
    <w:rsid w:val="00EB4DD4"/>
    <w:rsid w:val="00EC517C"/>
    <w:rsid w:val="00ED12A8"/>
    <w:rsid w:val="00ED305C"/>
    <w:rsid w:val="00ED7012"/>
    <w:rsid w:val="00EE6CA2"/>
    <w:rsid w:val="00EF170B"/>
    <w:rsid w:val="00EF1B78"/>
    <w:rsid w:val="00F0228B"/>
    <w:rsid w:val="00F048C0"/>
    <w:rsid w:val="00F04AAB"/>
    <w:rsid w:val="00F141DD"/>
    <w:rsid w:val="00F159F6"/>
    <w:rsid w:val="00F20F88"/>
    <w:rsid w:val="00F2102D"/>
    <w:rsid w:val="00F239BE"/>
    <w:rsid w:val="00F259F2"/>
    <w:rsid w:val="00F274C2"/>
    <w:rsid w:val="00F326E8"/>
    <w:rsid w:val="00F327A2"/>
    <w:rsid w:val="00F3293F"/>
    <w:rsid w:val="00F33998"/>
    <w:rsid w:val="00F40D42"/>
    <w:rsid w:val="00F42285"/>
    <w:rsid w:val="00F43FD6"/>
    <w:rsid w:val="00F5195C"/>
    <w:rsid w:val="00F646C2"/>
    <w:rsid w:val="00F67F30"/>
    <w:rsid w:val="00F72C5A"/>
    <w:rsid w:val="00F743B9"/>
    <w:rsid w:val="00F762BB"/>
    <w:rsid w:val="00F76C92"/>
    <w:rsid w:val="00F77F15"/>
    <w:rsid w:val="00F91921"/>
    <w:rsid w:val="00F94819"/>
    <w:rsid w:val="00FA722E"/>
    <w:rsid w:val="00FB2324"/>
    <w:rsid w:val="00FB26C6"/>
    <w:rsid w:val="00FB3D20"/>
    <w:rsid w:val="00FC173B"/>
    <w:rsid w:val="00FC7002"/>
    <w:rsid w:val="00FD2A56"/>
    <w:rsid w:val="00FD6BD4"/>
    <w:rsid w:val="00FE0FB5"/>
    <w:rsid w:val="00FE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9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29AC"/>
    <w:pPr>
      <w:spacing w:line="264" w:lineRule="auto"/>
      <w:jc w:val="both"/>
    </w:pPr>
    <w:rPr>
      <w:rFonts w:ascii="Cambria" w:hAnsi="Cambria"/>
      <w:sz w:val="21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E29AC"/>
    <w:pPr>
      <w:keepNext/>
      <w:pageBreakBefore/>
      <w:numPr>
        <w:numId w:val="2"/>
      </w:numPr>
      <w:suppressAutoHyphens/>
      <w:spacing w:before="240" w:after="60"/>
      <w:jc w:val="left"/>
      <w:outlineLvl w:val="0"/>
    </w:pPr>
    <w:rPr>
      <w:rFonts w:eastAsiaTheme="majorEastAsia" w:cs="Arial"/>
      <w:b/>
      <w:bCs/>
      <w:kern w:val="32"/>
      <w:sz w:val="36"/>
      <w:szCs w:val="32"/>
      <w:lang w:val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51701E"/>
    <w:pPr>
      <w:keepNext/>
      <w:numPr>
        <w:ilvl w:val="1"/>
        <w:numId w:val="2"/>
      </w:numPr>
      <w:pBdr>
        <w:bottom w:val="single" w:sz="4" w:space="1" w:color="auto"/>
      </w:pBdr>
      <w:spacing w:before="240" w:after="120" w:line="240" w:lineRule="auto"/>
      <w:ind w:left="578" w:hanging="578"/>
      <w:jc w:val="left"/>
      <w:outlineLvl w:val="1"/>
    </w:pPr>
    <w:rPr>
      <w:rFonts w:eastAsiaTheme="majorEastAsia" w:cs="Arial"/>
      <w:bCs/>
      <w:iCs/>
      <w:caps/>
      <w:sz w:val="28"/>
      <w:szCs w:val="28"/>
      <w:lang w:val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C41FF6"/>
    <w:pPr>
      <w:keepNext/>
      <w:numPr>
        <w:ilvl w:val="2"/>
        <w:numId w:val="2"/>
      </w:numPr>
      <w:suppressAutoHyphens/>
      <w:spacing w:before="240" w:after="120" w:line="240" w:lineRule="auto"/>
      <w:jc w:val="left"/>
      <w:outlineLvl w:val="2"/>
    </w:pPr>
    <w:rPr>
      <w:rFonts w:eastAsiaTheme="majorEastAsia" w:cs="Arial"/>
      <w:b/>
      <w:bCs/>
      <w:sz w:val="24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8E29AC"/>
    <w:pPr>
      <w:numPr>
        <w:ilvl w:val="3"/>
      </w:numPr>
      <w:outlineLvl w:val="3"/>
    </w:pPr>
    <w:rPr>
      <w:bCs w:val="0"/>
      <w:sz w:val="21"/>
      <w:szCs w:val="28"/>
    </w:rPr>
  </w:style>
  <w:style w:type="paragraph" w:styleId="Nadpis5">
    <w:name w:val="heading 5"/>
    <w:basedOn w:val="Normln"/>
    <w:next w:val="Normln"/>
    <w:link w:val="Nadpis5Char"/>
    <w:qFormat/>
    <w:rsid w:val="008E29AC"/>
    <w:pPr>
      <w:keepNext/>
      <w:keepLines/>
      <w:numPr>
        <w:numId w:val="3"/>
      </w:numPr>
      <w:spacing w:before="200"/>
      <w:outlineLvl w:val="4"/>
    </w:pPr>
    <w:rPr>
      <w:rFonts w:eastAsiaTheme="majorEastAsia" w:cs="Arial"/>
      <w:lang w:val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8E29AC"/>
    <w:pPr>
      <w:keepNext/>
      <w:keepLines/>
      <w:spacing w:before="200"/>
      <w:outlineLvl w:val="6"/>
    </w:pPr>
    <w:rPr>
      <w:rFonts w:eastAsia="Times New Roman"/>
      <w:i/>
      <w:iCs/>
      <w:lang w:val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8E29AC"/>
    <w:pPr>
      <w:keepNext/>
      <w:keepLines/>
      <w:spacing w:before="200"/>
      <w:outlineLvl w:val="7"/>
    </w:pPr>
    <w:rPr>
      <w:rFonts w:eastAsia="Times New Roman"/>
      <w:sz w:val="20"/>
      <w:szCs w:val="20"/>
      <w:lang w:val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8E29AC"/>
    <w:pPr>
      <w:keepNext/>
      <w:keepLines/>
      <w:spacing w:before="200"/>
      <w:outlineLvl w:val="8"/>
    </w:pPr>
    <w:rPr>
      <w:rFonts w:eastAsia="Times New Roman"/>
      <w:i/>
      <w:iCs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86ED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6ED9"/>
  </w:style>
  <w:style w:type="paragraph" w:styleId="Zpat">
    <w:name w:val="footer"/>
    <w:basedOn w:val="Normln"/>
    <w:link w:val="ZpatChar"/>
    <w:uiPriority w:val="99"/>
    <w:unhideWhenUsed/>
    <w:rsid w:val="00AE43A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43AB"/>
    <w:rPr>
      <w:rFonts w:asciiTheme="majorHAnsi" w:hAnsiTheme="majorHAnsi"/>
      <w:sz w:val="20"/>
    </w:rPr>
  </w:style>
  <w:style w:type="table" w:styleId="Mkatabulky">
    <w:name w:val="Table Grid"/>
    <w:basedOn w:val="Normlntabulka"/>
    <w:uiPriority w:val="59"/>
    <w:rsid w:val="00486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9B042F"/>
    <w:rPr>
      <w:b w:val="0"/>
      <w:color w:val="auto"/>
      <w:u w:val="single"/>
    </w:rPr>
  </w:style>
  <w:style w:type="character" w:customStyle="1" w:styleId="Nadpis1Char">
    <w:name w:val="Nadpis 1 Char"/>
    <w:link w:val="Nadpis1"/>
    <w:uiPriority w:val="99"/>
    <w:rsid w:val="008E29AC"/>
    <w:rPr>
      <w:rFonts w:ascii="Cambria" w:eastAsiaTheme="majorEastAsia" w:hAnsi="Cambria" w:cs="Arial"/>
      <w:b/>
      <w:bCs/>
      <w:kern w:val="32"/>
      <w:sz w:val="36"/>
      <w:szCs w:val="32"/>
      <w:lang w:eastAsia="cs-CZ"/>
    </w:rPr>
  </w:style>
  <w:style w:type="character" w:customStyle="1" w:styleId="Nadpis2Char">
    <w:name w:val="Nadpis 2 Char"/>
    <w:link w:val="Nadpis2"/>
    <w:uiPriority w:val="99"/>
    <w:rsid w:val="0051701E"/>
    <w:rPr>
      <w:rFonts w:ascii="Cambria" w:eastAsiaTheme="majorEastAsia" w:hAnsi="Cambria" w:cs="Arial"/>
      <w:bCs/>
      <w:iCs/>
      <w:caps/>
      <w:sz w:val="28"/>
      <w:szCs w:val="28"/>
      <w:lang w:eastAsia="cs-CZ"/>
    </w:rPr>
  </w:style>
  <w:style w:type="character" w:customStyle="1" w:styleId="Nadpis3Char">
    <w:name w:val="Nadpis 3 Char"/>
    <w:link w:val="Nadpis3"/>
    <w:uiPriority w:val="99"/>
    <w:rsid w:val="00C41FF6"/>
    <w:rPr>
      <w:rFonts w:ascii="Cambria" w:eastAsiaTheme="majorEastAsia" w:hAnsi="Cambria" w:cs="Arial"/>
      <w:b/>
      <w:bCs/>
      <w:sz w:val="24"/>
      <w:szCs w:val="26"/>
      <w:lang w:val="cs-CZ" w:eastAsia="cs-CZ"/>
    </w:rPr>
  </w:style>
  <w:style w:type="character" w:styleId="Siln">
    <w:name w:val="Strong"/>
    <w:basedOn w:val="Standardnpsmoodstavce"/>
    <w:uiPriority w:val="22"/>
    <w:rsid w:val="00813F98"/>
    <w:rPr>
      <w:b/>
      <w:bCs/>
    </w:rPr>
  </w:style>
  <w:style w:type="paragraph" w:styleId="Odstavecseseznamem">
    <w:name w:val="List Paragraph"/>
    <w:basedOn w:val="Normln"/>
    <w:uiPriority w:val="34"/>
    <w:qFormat/>
    <w:rsid w:val="008E29AC"/>
    <w:pPr>
      <w:numPr>
        <w:numId w:val="4"/>
      </w:numPr>
      <w:contextualSpacing/>
    </w:pPr>
  </w:style>
  <w:style w:type="character" w:styleId="Zvraznn">
    <w:name w:val="Emphasis"/>
    <w:basedOn w:val="Standardnpsmoodstavce"/>
    <w:uiPriority w:val="20"/>
    <w:rsid w:val="00813F98"/>
    <w:rPr>
      <w:i/>
      <w:iCs/>
    </w:rPr>
  </w:style>
  <w:style w:type="character" w:styleId="Zdraznnintenzivn">
    <w:name w:val="Intense Emphasis"/>
    <w:basedOn w:val="Standardnpsmoodstavce"/>
    <w:uiPriority w:val="21"/>
    <w:rsid w:val="00813F98"/>
    <w:rPr>
      <w:b/>
      <w:bCs/>
      <w:i/>
      <w:iCs/>
      <w:color w:val="4F81BD" w:themeColor="accent1"/>
    </w:rPr>
  </w:style>
  <w:style w:type="character" w:customStyle="1" w:styleId="Nadpis4Char">
    <w:name w:val="Nadpis 4 Char"/>
    <w:link w:val="Nadpis4"/>
    <w:uiPriority w:val="99"/>
    <w:rsid w:val="008E29AC"/>
    <w:rPr>
      <w:rFonts w:ascii="Cambria" w:eastAsiaTheme="majorEastAsia" w:hAnsi="Cambria" w:cs="Arial"/>
      <w:b/>
      <w:sz w:val="21"/>
      <w:szCs w:val="2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80888"/>
    <w:pPr>
      <w:spacing w:line="240" w:lineRule="auto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80888"/>
    <w:rPr>
      <w:rFonts w:asciiTheme="majorHAnsi" w:hAnsiTheme="majorHAnsi"/>
      <w:sz w:val="18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80888"/>
    <w:rPr>
      <w:vertAlign w:val="superscript"/>
    </w:rPr>
  </w:style>
  <w:style w:type="paragraph" w:customStyle="1" w:styleId="Tabulkovtext">
    <w:name w:val="Tabulkový text"/>
    <w:basedOn w:val="Normln"/>
    <w:rsid w:val="00491A42"/>
    <w:pPr>
      <w:suppressAutoHyphens/>
      <w:spacing w:line="240" w:lineRule="auto"/>
      <w:jc w:val="left"/>
    </w:pPr>
    <w:rPr>
      <w:rFonts w:asciiTheme="minorHAnsi" w:hAnsiTheme="minorHAnsi"/>
    </w:rPr>
  </w:style>
  <w:style w:type="character" w:customStyle="1" w:styleId="Nadpis5Char">
    <w:name w:val="Nadpis 5 Char"/>
    <w:link w:val="Nadpis5"/>
    <w:rsid w:val="008E29AC"/>
    <w:rPr>
      <w:rFonts w:ascii="Cambria" w:eastAsiaTheme="majorEastAsia" w:hAnsi="Cambria" w:cs="Arial"/>
      <w:sz w:val="21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BF516A"/>
    <w:pPr>
      <w:spacing w:after="100"/>
      <w:ind w:left="200"/>
    </w:pPr>
  </w:style>
  <w:style w:type="paragraph" w:styleId="Obsah1">
    <w:name w:val="toc 1"/>
    <w:basedOn w:val="Normln"/>
    <w:next w:val="Normln"/>
    <w:autoRedefine/>
    <w:uiPriority w:val="39"/>
    <w:unhideWhenUsed/>
    <w:rsid w:val="00BF516A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BF516A"/>
    <w:pPr>
      <w:spacing w:after="100"/>
      <w:ind w:left="400"/>
    </w:pPr>
  </w:style>
  <w:style w:type="paragraph" w:customStyle="1" w:styleId="tabulka">
    <w:name w:val="tabulka"/>
    <w:basedOn w:val="Normln"/>
    <w:qFormat/>
    <w:rsid w:val="00377DF6"/>
    <w:rPr>
      <w:i/>
    </w:rPr>
  </w:style>
  <w:style w:type="paragraph" w:customStyle="1" w:styleId="graf">
    <w:name w:val="graf"/>
    <w:basedOn w:val="Normln"/>
    <w:qFormat/>
    <w:rsid w:val="006411C3"/>
    <w:pPr>
      <w:numPr>
        <w:numId w:val="5"/>
      </w:numPr>
      <w:tabs>
        <w:tab w:val="left" w:pos="1134"/>
      </w:tabs>
      <w:spacing w:before="240" w:after="200" w:line="240" w:lineRule="auto"/>
      <w:ind w:left="0" w:firstLine="0"/>
    </w:pPr>
    <w:rPr>
      <w:rFonts w:eastAsiaTheme="minorHAnsi" w:cstheme="minorBidi"/>
      <w:b/>
      <w:szCs w:val="22"/>
      <w:lang w:eastAsia="en-US"/>
    </w:rPr>
  </w:style>
  <w:style w:type="paragraph" w:styleId="Seznamobrzk">
    <w:name w:val="table of figures"/>
    <w:basedOn w:val="Normln"/>
    <w:next w:val="Normln"/>
    <w:uiPriority w:val="99"/>
    <w:unhideWhenUsed/>
    <w:rsid w:val="000E63DD"/>
  </w:style>
  <w:style w:type="paragraph" w:styleId="Textbubliny">
    <w:name w:val="Balloon Text"/>
    <w:basedOn w:val="Normln"/>
    <w:link w:val="TextbublinyChar"/>
    <w:uiPriority w:val="99"/>
    <w:semiHidden/>
    <w:unhideWhenUsed/>
    <w:rsid w:val="00D034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3439"/>
    <w:rPr>
      <w:rFonts w:ascii="Tahoma" w:hAnsi="Tahoma" w:cs="Tahoma"/>
      <w:sz w:val="16"/>
      <w:szCs w:val="16"/>
    </w:rPr>
  </w:style>
  <w:style w:type="character" w:customStyle="1" w:styleId="Poznmkapodarou">
    <w:name w:val="Poznámka pod čarou_"/>
    <w:basedOn w:val="Standardnpsmoodstavce"/>
    <w:link w:val="Poznmkapodarou0"/>
    <w:rsid w:val="00D03439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ZkladntextVerdana95ptTun">
    <w:name w:val="Základní text + Verdana;9;5 pt;Tučné"/>
    <w:basedOn w:val="Standardnpsmoodstavce"/>
    <w:rsid w:val="00D03439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Poznmkapodarou0">
    <w:name w:val="Poznámka pod čarou"/>
    <w:basedOn w:val="Normln"/>
    <w:link w:val="Poznmkapodarou"/>
    <w:rsid w:val="00D03439"/>
    <w:pPr>
      <w:shd w:val="clear" w:color="auto" w:fill="FFFFFF"/>
      <w:spacing w:line="0" w:lineRule="atLeast"/>
      <w:ind w:hanging="360"/>
      <w:jc w:val="left"/>
    </w:pPr>
    <w:rPr>
      <w:rFonts w:ascii="Arial" w:eastAsia="Arial" w:hAnsi="Arial" w:cs="Arial"/>
      <w:szCs w:val="20"/>
    </w:rPr>
  </w:style>
  <w:style w:type="character" w:customStyle="1" w:styleId="Nadpis7Char">
    <w:name w:val="Nadpis 7 Char"/>
    <w:link w:val="Nadpis7"/>
    <w:uiPriority w:val="99"/>
    <w:rsid w:val="008E29AC"/>
    <w:rPr>
      <w:rFonts w:ascii="Cambria" w:eastAsia="Times New Roman" w:hAnsi="Cambria" w:cs="Times New Roman"/>
      <w:i/>
      <w:iCs/>
      <w:sz w:val="21"/>
      <w:szCs w:val="24"/>
      <w:lang w:eastAsia="cs-CZ"/>
    </w:rPr>
  </w:style>
  <w:style w:type="character" w:customStyle="1" w:styleId="Nadpis8Char">
    <w:name w:val="Nadpis 8 Char"/>
    <w:link w:val="Nadpis8"/>
    <w:uiPriority w:val="99"/>
    <w:rsid w:val="008E29AC"/>
    <w:rPr>
      <w:rFonts w:ascii="Cambria" w:eastAsia="Times New Roman" w:hAnsi="Cambria" w:cs="Times New Roman"/>
      <w:sz w:val="20"/>
      <w:szCs w:val="20"/>
      <w:lang w:eastAsia="cs-CZ"/>
    </w:rPr>
  </w:style>
  <w:style w:type="character" w:customStyle="1" w:styleId="Nadpis9Char">
    <w:name w:val="Nadpis 9 Char"/>
    <w:link w:val="Nadpis9"/>
    <w:uiPriority w:val="99"/>
    <w:rsid w:val="008E29AC"/>
    <w:rPr>
      <w:rFonts w:ascii="Cambria" w:eastAsia="Times New Roman" w:hAnsi="Cambria" w:cs="Times New Roman"/>
      <w:i/>
      <w:iCs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8E29AC"/>
    <w:pPr>
      <w:pBdr>
        <w:bottom w:val="single" w:sz="8" w:space="1" w:color="000000"/>
      </w:pBdr>
      <w:spacing w:after="300" w:line="240" w:lineRule="auto"/>
      <w:contextualSpacing/>
    </w:pPr>
    <w:rPr>
      <w:rFonts w:eastAsia="MS Gothic"/>
      <w:spacing w:val="5"/>
      <w:kern w:val="28"/>
      <w:sz w:val="52"/>
      <w:szCs w:val="52"/>
      <w:lang w:val="en-US"/>
    </w:rPr>
  </w:style>
  <w:style w:type="character" w:customStyle="1" w:styleId="NzevChar">
    <w:name w:val="Název Char"/>
    <w:link w:val="Nzev"/>
    <w:uiPriority w:val="10"/>
    <w:rsid w:val="008E29AC"/>
    <w:rPr>
      <w:rFonts w:ascii="Cambria" w:eastAsia="MS Gothic" w:hAnsi="Cambria" w:cs="Times New Roman"/>
      <w:spacing w:val="5"/>
      <w:kern w:val="28"/>
      <w:sz w:val="52"/>
      <w:szCs w:val="52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E29AC"/>
    <w:pPr>
      <w:keepLines/>
      <w:pageBreakBefore w:val="0"/>
      <w:numPr>
        <w:numId w:val="0"/>
      </w:numPr>
      <w:suppressAutoHyphens w:val="0"/>
      <w:spacing w:before="480" w:after="120" w:line="276" w:lineRule="auto"/>
      <w:outlineLvl w:val="9"/>
    </w:pPr>
    <w:rPr>
      <w:rFonts w:eastAsia="MS Gothic" w:cs="Times New Roman"/>
      <w:kern w:val="0"/>
      <w:szCs w:val="28"/>
      <w:lang w:val="cs-CZ"/>
    </w:rPr>
  </w:style>
  <w:style w:type="paragraph" w:customStyle="1" w:styleId="AQE1">
    <w:name w:val="AQE 1"/>
    <w:basedOn w:val="Nadpis1"/>
    <w:link w:val="AQE1Char"/>
    <w:qFormat/>
    <w:rsid w:val="008E29AC"/>
    <w:pPr>
      <w:numPr>
        <w:numId w:val="0"/>
      </w:numPr>
    </w:pPr>
    <w:rPr>
      <w:rFonts w:eastAsia="Times New Roman"/>
    </w:rPr>
  </w:style>
  <w:style w:type="character" w:customStyle="1" w:styleId="AQE1Char">
    <w:name w:val="AQE 1 Char"/>
    <w:link w:val="AQE1"/>
    <w:rsid w:val="008E29AC"/>
    <w:rPr>
      <w:rFonts w:ascii="Cambria" w:eastAsia="Times New Roman" w:hAnsi="Cambria" w:cs="Arial"/>
      <w:b/>
      <w:bCs/>
      <w:kern w:val="32"/>
      <w:sz w:val="36"/>
      <w:szCs w:val="32"/>
      <w:lang w:eastAsia="cs-CZ"/>
    </w:rPr>
  </w:style>
  <w:style w:type="paragraph" w:customStyle="1" w:styleId="AQE11">
    <w:name w:val="AQE 1.1"/>
    <w:basedOn w:val="Nadpis2"/>
    <w:link w:val="AQE11Char"/>
    <w:qFormat/>
    <w:rsid w:val="00223D8B"/>
    <w:pPr>
      <w:numPr>
        <w:ilvl w:val="0"/>
        <w:numId w:val="0"/>
      </w:numPr>
    </w:pPr>
    <w:rPr>
      <w:rFonts w:eastAsia="Times New Roman"/>
    </w:rPr>
  </w:style>
  <w:style w:type="character" w:customStyle="1" w:styleId="AQE11Char">
    <w:name w:val="AQE 1.1 Char"/>
    <w:link w:val="AQE11"/>
    <w:rsid w:val="00223D8B"/>
    <w:rPr>
      <w:rFonts w:ascii="Cambria" w:eastAsia="Times New Roman" w:hAnsi="Cambria" w:cs="Arial"/>
      <w:bCs/>
      <w:iCs/>
      <w:caps/>
      <w:sz w:val="28"/>
      <w:szCs w:val="28"/>
      <w:lang w:eastAsia="cs-CZ"/>
    </w:rPr>
  </w:style>
  <w:style w:type="paragraph" w:customStyle="1" w:styleId="AQE111">
    <w:name w:val="AQE 1.1.1"/>
    <w:basedOn w:val="Nadpis3"/>
    <w:link w:val="AQE111Char"/>
    <w:qFormat/>
    <w:rsid w:val="008E29AC"/>
    <w:pPr>
      <w:numPr>
        <w:ilvl w:val="0"/>
        <w:numId w:val="0"/>
      </w:numPr>
    </w:pPr>
    <w:rPr>
      <w:rFonts w:eastAsia="Times New Roman"/>
    </w:rPr>
  </w:style>
  <w:style w:type="character" w:customStyle="1" w:styleId="AQE111Char">
    <w:name w:val="AQE 1.1.1 Char"/>
    <w:link w:val="AQE111"/>
    <w:rsid w:val="008E29AC"/>
    <w:rPr>
      <w:rFonts w:ascii="Cambria" w:eastAsia="Times New Roman" w:hAnsi="Cambria" w:cs="Arial"/>
      <w:b/>
      <w:bCs/>
      <w:sz w:val="24"/>
      <w:szCs w:val="26"/>
      <w:lang w:eastAsia="cs-CZ"/>
    </w:rPr>
  </w:style>
  <w:style w:type="paragraph" w:customStyle="1" w:styleId="AQE1111">
    <w:name w:val="AQE 1.1.1.1"/>
    <w:basedOn w:val="Nadpis4"/>
    <w:link w:val="AQE1111Char"/>
    <w:qFormat/>
    <w:rsid w:val="008E29AC"/>
    <w:pPr>
      <w:numPr>
        <w:ilvl w:val="0"/>
        <w:numId w:val="0"/>
      </w:numPr>
    </w:pPr>
    <w:rPr>
      <w:rFonts w:eastAsia="Times New Roman"/>
    </w:rPr>
  </w:style>
  <w:style w:type="character" w:customStyle="1" w:styleId="AQE1111Char">
    <w:name w:val="AQE 1.1.1.1 Char"/>
    <w:link w:val="AQE1111"/>
    <w:rsid w:val="008E29AC"/>
    <w:rPr>
      <w:rFonts w:ascii="Cambria" w:eastAsia="Times New Roman" w:hAnsi="Cambria" w:cs="Arial"/>
      <w:b/>
      <w:sz w:val="21"/>
      <w:szCs w:val="28"/>
      <w:lang w:eastAsia="cs-CZ"/>
    </w:rPr>
  </w:style>
  <w:style w:type="paragraph" w:customStyle="1" w:styleId="AQEA">
    <w:name w:val="AQE A"/>
    <w:basedOn w:val="Normln"/>
    <w:autoRedefine/>
    <w:qFormat/>
    <w:rsid w:val="008E29AC"/>
    <w:pPr>
      <w:shd w:val="clear" w:color="auto" w:fill="A43D3A"/>
      <w:spacing w:line="276" w:lineRule="auto"/>
      <w:jc w:val="left"/>
    </w:pPr>
    <w:rPr>
      <w:rFonts w:ascii="Calibri" w:eastAsia="Times New Roman" w:hAnsi="Calibri"/>
      <w:b/>
      <w:color w:val="FFFFFF"/>
      <w:sz w:val="28"/>
      <w:szCs w:val="28"/>
    </w:rPr>
  </w:style>
  <w:style w:type="paragraph" w:customStyle="1" w:styleId="AQE3">
    <w:name w:val="AQE3"/>
    <w:basedOn w:val="Normln"/>
    <w:link w:val="AQE3Char"/>
    <w:qFormat/>
    <w:rsid w:val="008E29AC"/>
    <w:pPr>
      <w:autoSpaceDE w:val="0"/>
      <w:autoSpaceDN w:val="0"/>
      <w:adjustRightInd w:val="0"/>
    </w:pPr>
    <w:rPr>
      <w:b/>
    </w:rPr>
  </w:style>
  <w:style w:type="character" w:customStyle="1" w:styleId="AQE3Char">
    <w:name w:val="AQE3 Char"/>
    <w:basedOn w:val="Standardnpsmoodstavce"/>
    <w:link w:val="AQE3"/>
    <w:rsid w:val="008E29AC"/>
    <w:rPr>
      <w:rFonts w:ascii="Cambria" w:hAnsi="Cambria"/>
      <w:b/>
      <w:sz w:val="21"/>
      <w:szCs w:val="24"/>
      <w:lang w:val="cs-CZ"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9B4507"/>
    <w:pPr>
      <w:tabs>
        <w:tab w:val="left" w:pos="1276"/>
      </w:tabs>
      <w:spacing w:before="240" w:after="200" w:line="240" w:lineRule="auto"/>
    </w:pPr>
    <w:rPr>
      <w:b/>
      <w:bCs/>
      <w:szCs w:val="18"/>
    </w:rPr>
  </w:style>
  <w:style w:type="character" w:customStyle="1" w:styleId="apple-style-span">
    <w:name w:val="apple-style-span"/>
    <w:basedOn w:val="Standardnpsmoodstavce"/>
    <w:rsid w:val="007442DE"/>
  </w:style>
  <w:style w:type="paragraph" w:customStyle="1" w:styleId="Text1">
    <w:name w:val="Text1"/>
    <w:basedOn w:val="Zkladntext"/>
    <w:rsid w:val="00657F31"/>
    <w:pPr>
      <w:overflowPunct w:val="0"/>
      <w:autoSpaceDE w:val="0"/>
      <w:autoSpaceDN w:val="0"/>
      <w:adjustRightInd w:val="0"/>
      <w:spacing w:before="120" w:after="0" w:line="240" w:lineRule="auto"/>
      <w:ind w:firstLine="284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57F3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57F31"/>
    <w:rPr>
      <w:rFonts w:ascii="Cambria" w:hAnsi="Cambria"/>
      <w:sz w:val="21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CD7B0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9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29AC"/>
    <w:pPr>
      <w:spacing w:line="264" w:lineRule="auto"/>
      <w:jc w:val="both"/>
    </w:pPr>
    <w:rPr>
      <w:rFonts w:ascii="Cambria" w:hAnsi="Cambria"/>
      <w:sz w:val="21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E29AC"/>
    <w:pPr>
      <w:keepNext/>
      <w:pageBreakBefore/>
      <w:numPr>
        <w:numId w:val="2"/>
      </w:numPr>
      <w:suppressAutoHyphens/>
      <w:spacing w:before="240" w:after="60"/>
      <w:jc w:val="left"/>
      <w:outlineLvl w:val="0"/>
    </w:pPr>
    <w:rPr>
      <w:rFonts w:eastAsiaTheme="majorEastAsia" w:cs="Arial"/>
      <w:b/>
      <w:bCs/>
      <w:kern w:val="32"/>
      <w:sz w:val="36"/>
      <w:szCs w:val="32"/>
      <w:lang w:val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51701E"/>
    <w:pPr>
      <w:keepNext/>
      <w:numPr>
        <w:ilvl w:val="1"/>
        <w:numId w:val="2"/>
      </w:numPr>
      <w:pBdr>
        <w:bottom w:val="single" w:sz="4" w:space="1" w:color="auto"/>
      </w:pBdr>
      <w:spacing w:before="240" w:after="120" w:line="240" w:lineRule="auto"/>
      <w:ind w:left="578" w:hanging="578"/>
      <w:jc w:val="left"/>
      <w:outlineLvl w:val="1"/>
    </w:pPr>
    <w:rPr>
      <w:rFonts w:eastAsiaTheme="majorEastAsia" w:cs="Arial"/>
      <w:bCs/>
      <w:iCs/>
      <w:caps/>
      <w:sz w:val="28"/>
      <w:szCs w:val="28"/>
      <w:lang w:val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C41FF6"/>
    <w:pPr>
      <w:keepNext/>
      <w:numPr>
        <w:ilvl w:val="2"/>
        <w:numId w:val="2"/>
      </w:numPr>
      <w:suppressAutoHyphens/>
      <w:spacing w:before="240" w:after="120" w:line="240" w:lineRule="auto"/>
      <w:jc w:val="left"/>
      <w:outlineLvl w:val="2"/>
    </w:pPr>
    <w:rPr>
      <w:rFonts w:eastAsiaTheme="majorEastAsia" w:cs="Arial"/>
      <w:b/>
      <w:bCs/>
      <w:sz w:val="24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8E29AC"/>
    <w:pPr>
      <w:numPr>
        <w:ilvl w:val="3"/>
      </w:numPr>
      <w:outlineLvl w:val="3"/>
    </w:pPr>
    <w:rPr>
      <w:bCs w:val="0"/>
      <w:sz w:val="21"/>
      <w:szCs w:val="28"/>
    </w:rPr>
  </w:style>
  <w:style w:type="paragraph" w:styleId="Nadpis5">
    <w:name w:val="heading 5"/>
    <w:basedOn w:val="Normln"/>
    <w:next w:val="Normln"/>
    <w:link w:val="Nadpis5Char"/>
    <w:qFormat/>
    <w:rsid w:val="008E29AC"/>
    <w:pPr>
      <w:keepNext/>
      <w:keepLines/>
      <w:numPr>
        <w:numId w:val="3"/>
      </w:numPr>
      <w:spacing w:before="200"/>
      <w:outlineLvl w:val="4"/>
    </w:pPr>
    <w:rPr>
      <w:rFonts w:eastAsiaTheme="majorEastAsia" w:cs="Arial"/>
      <w:lang w:val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8E29AC"/>
    <w:pPr>
      <w:keepNext/>
      <w:keepLines/>
      <w:spacing w:before="200"/>
      <w:outlineLvl w:val="6"/>
    </w:pPr>
    <w:rPr>
      <w:rFonts w:eastAsia="Times New Roman"/>
      <w:i/>
      <w:iCs/>
      <w:lang w:val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8E29AC"/>
    <w:pPr>
      <w:keepNext/>
      <w:keepLines/>
      <w:spacing w:before="200"/>
      <w:outlineLvl w:val="7"/>
    </w:pPr>
    <w:rPr>
      <w:rFonts w:eastAsia="Times New Roman"/>
      <w:sz w:val="20"/>
      <w:szCs w:val="20"/>
      <w:lang w:val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8E29AC"/>
    <w:pPr>
      <w:keepNext/>
      <w:keepLines/>
      <w:spacing w:before="200"/>
      <w:outlineLvl w:val="8"/>
    </w:pPr>
    <w:rPr>
      <w:rFonts w:eastAsia="Times New Roman"/>
      <w:i/>
      <w:iCs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86ED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6ED9"/>
  </w:style>
  <w:style w:type="paragraph" w:styleId="Zpat">
    <w:name w:val="footer"/>
    <w:basedOn w:val="Normln"/>
    <w:link w:val="ZpatChar"/>
    <w:uiPriority w:val="99"/>
    <w:unhideWhenUsed/>
    <w:rsid w:val="00AE43A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43AB"/>
    <w:rPr>
      <w:rFonts w:asciiTheme="majorHAnsi" w:hAnsiTheme="majorHAnsi"/>
      <w:sz w:val="20"/>
    </w:rPr>
  </w:style>
  <w:style w:type="table" w:styleId="Mkatabulky">
    <w:name w:val="Table Grid"/>
    <w:basedOn w:val="Normlntabulka"/>
    <w:uiPriority w:val="59"/>
    <w:rsid w:val="00486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9B042F"/>
    <w:rPr>
      <w:b w:val="0"/>
      <w:color w:val="auto"/>
      <w:u w:val="single"/>
    </w:rPr>
  </w:style>
  <w:style w:type="character" w:customStyle="1" w:styleId="Nadpis1Char">
    <w:name w:val="Nadpis 1 Char"/>
    <w:link w:val="Nadpis1"/>
    <w:uiPriority w:val="99"/>
    <w:rsid w:val="008E29AC"/>
    <w:rPr>
      <w:rFonts w:ascii="Cambria" w:eastAsiaTheme="majorEastAsia" w:hAnsi="Cambria" w:cs="Arial"/>
      <w:b/>
      <w:bCs/>
      <w:kern w:val="32"/>
      <w:sz w:val="36"/>
      <w:szCs w:val="32"/>
      <w:lang w:eastAsia="cs-CZ"/>
    </w:rPr>
  </w:style>
  <w:style w:type="character" w:customStyle="1" w:styleId="Nadpis2Char">
    <w:name w:val="Nadpis 2 Char"/>
    <w:link w:val="Nadpis2"/>
    <w:uiPriority w:val="99"/>
    <w:rsid w:val="0051701E"/>
    <w:rPr>
      <w:rFonts w:ascii="Cambria" w:eastAsiaTheme="majorEastAsia" w:hAnsi="Cambria" w:cs="Arial"/>
      <w:bCs/>
      <w:iCs/>
      <w:caps/>
      <w:sz w:val="28"/>
      <w:szCs w:val="28"/>
      <w:lang w:eastAsia="cs-CZ"/>
    </w:rPr>
  </w:style>
  <w:style w:type="character" w:customStyle="1" w:styleId="Nadpis3Char">
    <w:name w:val="Nadpis 3 Char"/>
    <w:link w:val="Nadpis3"/>
    <w:uiPriority w:val="99"/>
    <w:rsid w:val="00C41FF6"/>
    <w:rPr>
      <w:rFonts w:ascii="Cambria" w:eastAsiaTheme="majorEastAsia" w:hAnsi="Cambria" w:cs="Arial"/>
      <w:b/>
      <w:bCs/>
      <w:sz w:val="24"/>
      <w:szCs w:val="26"/>
      <w:lang w:val="cs-CZ" w:eastAsia="cs-CZ"/>
    </w:rPr>
  </w:style>
  <w:style w:type="character" w:styleId="Siln">
    <w:name w:val="Strong"/>
    <w:basedOn w:val="Standardnpsmoodstavce"/>
    <w:uiPriority w:val="22"/>
    <w:rsid w:val="00813F98"/>
    <w:rPr>
      <w:b/>
      <w:bCs/>
    </w:rPr>
  </w:style>
  <w:style w:type="paragraph" w:styleId="Odstavecseseznamem">
    <w:name w:val="List Paragraph"/>
    <w:basedOn w:val="Normln"/>
    <w:uiPriority w:val="34"/>
    <w:qFormat/>
    <w:rsid w:val="008E29AC"/>
    <w:pPr>
      <w:numPr>
        <w:numId w:val="4"/>
      </w:numPr>
      <w:contextualSpacing/>
    </w:pPr>
  </w:style>
  <w:style w:type="character" w:styleId="Zvraznn">
    <w:name w:val="Emphasis"/>
    <w:basedOn w:val="Standardnpsmoodstavce"/>
    <w:uiPriority w:val="20"/>
    <w:rsid w:val="00813F98"/>
    <w:rPr>
      <w:i/>
      <w:iCs/>
    </w:rPr>
  </w:style>
  <w:style w:type="character" w:styleId="Zdraznnintenzivn">
    <w:name w:val="Intense Emphasis"/>
    <w:basedOn w:val="Standardnpsmoodstavce"/>
    <w:uiPriority w:val="21"/>
    <w:rsid w:val="00813F98"/>
    <w:rPr>
      <w:b/>
      <w:bCs/>
      <w:i/>
      <w:iCs/>
      <w:color w:val="4F81BD" w:themeColor="accent1"/>
    </w:rPr>
  </w:style>
  <w:style w:type="character" w:customStyle="1" w:styleId="Nadpis4Char">
    <w:name w:val="Nadpis 4 Char"/>
    <w:link w:val="Nadpis4"/>
    <w:uiPriority w:val="99"/>
    <w:rsid w:val="008E29AC"/>
    <w:rPr>
      <w:rFonts w:ascii="Cambria" w:eastAsiaTheme="majorEastAsia" w:hAnsi="Cambria" w:cs="Arial"/>
      <w:b/>
      <w:sz w:val="21"/>
      <w:szCs w:val="2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80888"/>
    <w:pPr>
      <w:spacing w:line="240" w:lineRule="auto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80888"/>
    <w:rPr>
      <w:rFonts w:asciiTheme="majorHAnsi" w:hAnsiTheme="majorHAnsi"/>
      <w:sz w:val="18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80888"/>
    <w:rPr>
      <w:vertAlign w:val="superscript"/>
    </w:rPr>
  </w:style>
  <w:style w:type="paragraph" w:customStyle="1" w:styleId="Tabulkovtext">
    <w:name w:val="Tabulkový text"/>
    <w:basedOn w:val="Normln"/>
    <w:rsid w:val="00491A42"/>
    <w:pPr>
      <w:suppressAutoHyphens/>
      <w:spacing w:line="240" w:lineRule="auto"/>
      <w:jc w:val="left"/>
    </w:pPr>
    <w:rPr>
      <w:rFonts w:asciiTheme="minorHAnsi" w:hAnsiTheme="minorHAnsi"/>
    </w:rPr>
  </w:style>
  <w:style w:type="character" w:customStyle="1" w:styleId="Nadpis5Char">
    <w:name w:val="Nadpis 5 Char"/>
    <w:link w:val="Nadpis5"/>
    <w:rsid w:val="008E29AC"/>
    <w:rPr>
      <w:rFonts w:ascii="Cambria" w:eastAsiaTheme="majorEastAsia" w:hAnsi="Cambria" w:cs="Arial"/>
      <w:sz w:val="21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BF516A"/>
    <w:pPr>
      <w:spacing w:after="100"/>
      <w:ind w:left="200"/>
    </w:pPr>
  </w:style>
  <w:style w:type="paragraph" w:styleId="Obsah1">
    <w:name w:val="toc 1"/>
    <w:basedOn w:val="Normln"/>
    <w:next w:val="Normln"/>
    <w:autoRedefine/>
    <w:uiPriority w:val="39"/>
    <w:unhideWhenUsed/>
    <w:rsid w:val="00BF516A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BF516A"/>
    <w:pPr>
      <w:spacing w:after="100"/>
      <w:ind w:left="400"/>
    </w:pPr>
  </w:style>
  <w:style w:type="paragraph" w:customStyle="1" w:styleId="tabulka">
    <w:name w:val="tabulka"/>
    <w:basedOn w:val="Normln"/>
    <w:qFormat/>
    <w:rsid w:val="00377DF6"/>
    <w:rPr>
      <w:i/>
    </w:rPr>
  </w:style>
  <w:style w:type="paragraph" w:customStyle="1" w:styleId="graf">
    <w:name w:val="graf"/>
    <w:basedOn w:val="Normln"/>
    <w:qFormat/>
    <w:rsid w:val="006411C3"/>
    <w:pPr>
      <w:numPr>
        <w:numId w:val="5"/>
      </w:numPr>
      <w:tabs>
        <w:tab w:val="left" w:pos="1134"/>
      </w:tabs>
      <w:spacing w:before="240" w:after="200" w:line="240" w:lineRule="auto"/>
      <w:ind w:left="0" w:firstLine="0"/>
    </w:pPr>
    <w:rPr>
      <w:rFonts w:eastAsiaTheme="minorHAnsi" w:cstheme="minorBidi"/>
      <w:b/>
      <w:szCs w:val="22"/>
      <w:lang w:eastAsia="en-US"/>
    </w:rPr>
  </w:style>
  <w:style w:type="paragraph" w:styleId="Seznamobrzk">
    <w:name w:val="table of figures"/>
    <w:basedOn w:val="Normln"/>
    <w:next w:val="Normln"/>
    <w:uiPriority w:val="99"/>
    <w:unhideWhenUsed/>
    <w:rsid w:val="000E63DD"/>
  </w:style>
  <w:style w:type="paragraph" w:styleId="Textbubliny">
    <w:name w:val="Balloon Text"/>
    <w:basedOn w:val="Normln"/>
    <w:link w:val="TextbublinyChar"/>
    <w:uiPriority w:val="99"/>
    <w:semiHidden/>
    <w:unhideWhenUsed/>
    <w:rsid w:val="00D034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3439"/>
    <w:rPr>
      <w:rFonts w:ascii="Tahoma" w:hAnsi="Tahoma" w:cs="Tahoma"/>
      <w:sz w:val="16"/>
      <w:szCs w:val="16"/>
    </w:rPr>
  </w:style>
  <w:style w:type="character" w:customStyle="1" w:styleId="Poznmkapodarou">
    <w:name w:val="Poznámka pod čarou_"/>
    <w:basedOn w:val="Standardnpsmoodstavce"/>
    <w:link w:val="Poznmkapodarou0"/>
    <w:rsid w:val="00D03439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ZkladntextVerdana95ptTun">
    <w:name w:val="Základní text + Verdana;9;5 pt;Tučné"/>
    <w:basedOn w:val="Standardnpsmoodstavce"/>
    <w:rsid w:val="00D03439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Poznmkapodarou0">
    <w:name w:val="Poznámka pod čarou"/>
    <w:basedOn w:val="Normln"/>
    <w:link w:val="Poznmkapodarou"/>
    <w:rsid w:val="00D03439"/>
    <w:pPr>
      <w:shd w:val="clear" w:color="auto" w:fill="FFFFFF"/>
      <w:spacing w:line="0" w:lineRule="atLeast"/>
      <w:ind w:hanging="360"/>
      <w:jc w:val="left"/>
    </w:pPr>
    <w:rPr>
      <w:rFonts w:ascii="Arial" w:eastAsia="Arial" w:hAnsi="Arial" w:cs="Arial"/>
      <w:szCs w:val="20"/>
    </w:rPr>
  </w:style>
  <w:style w:type="character" w:customStyle="1" w:styleId="Nadpis7Char">
    <w:name w:val="Nadpis 7 Char"/>
    <w:link w:val="Nadpis7"/>
    <w:uiPriority w:val="99"/>
    <w:rsid w:val="008E29AC"/>
    <w:rPr>
      <w:rFonts w:ascii="Cambria" w:eastAsia="Times New Roman" w:hAnsi="Cambria" w:cs="Times New Roman"/>
      <w:i/>
      <w:iCs/>
      <w:sz w:val="21"/>
      <w:szCs w:val="24"/>
      <w:lang w:eastAsia="cs-CZ"/>
    </w:rPr>
  </w:style>
  <w:style w:type="character" w:customStyle="1" w:styleId="Nadpis8Char">
    <w:name w:val="Nadpis 8 Char"/>
    <w:link w:val="Nadpis8"/>
    <w:uiPriority w:val="99"/>
    <w:rsid w:val="008E29AC"/>
    <w:rPr>
      <w:rFonts w:ascii="Cambria" w:eastAsia="Times New Roman" w:hAnsi="Cambria" w:cs="Times New Roman"/>
      <w:sz w:val="20"/>
      <w:szCs w:val="20"/>
      <w:lang w:eastAsia="cs-CZ"/>
    </w:rPr>
  </w:style>
  <w:style w:type="character" w:customStyle="1" w:styleId="Nadpis9Char">
    <w:name w:val="Nadpis 9 Char"/>
    <w:link w:val="Nadpis9"/>
    <w:uiPriority w:val="99"/>
    <w:rsid w:val="008E29AC"/>
    <w:rPr>
      <w:rFonts w:ascii="Cambria" w:eastAsia="Times New Roman" w:hAnsi="Cambria" w:cs="Times New Roman"/>
      <w:i/>
      <w:iCs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8E29AC"/>
    <w:pPr>
      <w:pBdr>
        <w:bottom w:val="single" w:sz="8" w:space="1" w:color="000000"/>
      </w:pBdr>
      <w:spacing w:after="300" w:line="240" w:lineRule="auto"/>
      <w:contextualSpacing/>
    </w:pPr>
    <w:rPr>
      <w:rFonts w:eastAsia="MS Gothic"/>
      <w:spacing w:val="5"/>
      <w:kern w:val="28"/>
      <w:sz w:val="52"/>
      <w:szCs w:val="52"/>
      <w:lang w:val="en-US"/>
    </w:rPr>
  </w:style>
  <w:style w:type="character" w:customStyle="1" w:styleId="NzevChar">
    <w:name w:val="Název Char"/>
    <w:link w:val="Nzev"/>
    <w:uiPriority w:val="10"/>
    <w:rsid w:val="008E29AC"/>
    <w:rPr>
      <w:rFonts w:ascii="Cambria" w:eastAsia="MS Gothic" w:hAnsi="Cambria" w:cs="Times New Roman"/>
      <w:spacing w:val="5"/>
      <w:kern w:val="28"/>
      <w:sz w:val="52"/>
      <w:szCs w:val="52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E29AC"/>
    <w:pPr>
      <w:keepLines/>
      <w:pageBreakBefore w:val="0"/>
      <w:numPr>
        <w:numId w:val="0"/>
      </w:numPr>
      <w:suppressAutoHyphens w:val="0"/>
      <w:spacing w:before="480" w:after="120" w:line="276" w:lineRule="auto"/>
      <w:outlineLvl w:val="9"/>
    </w:pPr>
    <w:rPr>
      <w:rFonts w:eastAsia="MS Gothic" w:cs="Times New Roman"/>
      <w:kern w:val="0"/>
      <w:szCs w:val="28"/>
      <w:lang w:val="cs-CZ"/>
    </w:rPr>
  </w:style>
  <w:style w:type="paragraph" w:customStyle="1" w:styleId="AQE1">
    <w:name w:val="AQE 1"/>
    <w:basedOn w:val="Nadpis1"/>
    <w:link w:val="AQE1Char"/>
    <w:qFormat/>
    <w:rsid w:val="008E29AC"/>
    <w:pPr>
      <w:numPr>
        <w:numId w:val="0"/>
      </w:numPr>
    </w:pPr>
    <w:rPr>
      <w:rFonts w:eastAsia="Times New Roman"/>
    </w:rPr>
  </w:style>
  <w:style w:type="character" w:customStyle="1" w:styleId="AQE1Char">
    <w:name w:val="AQE 1 Char"/>
    <w:link w:val="AQE1"/>
    <w:rsid w:val="008E29AC"/>
    <w:rPr>
      <w:rFonts w:ascii="Cambria" w:eastAsia="Times New Roman" w:hAnsi="Cambria" w:cs="Arial"/>
      <w:b/>
      <w:bCs/>
      <w:kern w:val="32"/>
      <w:sz w:val="36"/>
      <w:szCs w:val="32"/>
      <w:lang w:eastAsia="cs-CZ"/>
    </w:rPr>
  </w:style>
  <w:style w:type="paragraph" w:customStyle="1" w:styleId="AQE11">
    <w:name w:val="AQE 1.1"/>
    <w:basedOn w:val="Nadpis2"/>
    <w:link w:val="AQE11Char"/>
    <w:qFormat/>
    <w:rsid w:val="00223D8B"/>
    <w:pPr>
      <w:numPr>
        <w:ilvl w:val="0"/>
        <w:numId w:val="0"/>
      </w:numPr>
    </w:pPr>
    <w:rPr>
      <w:rFonts w:eastAsia="Times New Roman"/>
    </w:rPr>
  </w:style>
  <w:style w:type="character" w:customStyle="1" w:styleId="AQE11Char">
    <w:name w:val="AQE 1.1 Char"/>
    <w:link w:val="AQE11"/>
    <w:rsid w:val="00223D8B"/>
    <w:rPr>
      <w:rFonts w:ascii="Cambria" w:eastAsia="Times New Roman" w:hAnsi="Cambria" w:cs="Arial"/>
      <w:bCs/>
      <w:iCs/>
      <w:caps/>
      <w:sz w:val="28"/>
      <w:szCs w:val="28"/>
      <w:lang w:eastAsia="cs-CZ"/>
    </w:rPr>
  </w:style>
  <w:style w:type="paragraph" w:customStyle="1" w:styleId="AQE111">
    <w:name w:val="AQE 1.1.1"/>
    <w:basedOn w:val="Nadpis3"/>
    <w:link w:val="AQE111Char"/>
    <w:qFormat/>
    <w:rsid w:val="008E29AC"/>
    <w:pPr>
      <w:numPr>
        <w:ilvl w:val="0"/>
        <w:numId w:val="0"/>
      </w:numPr>
    </w:pPr>
    <w:rPr>
      <w:rFonts w:eastAsia="Times New Roman"/>
    </w:rPr>
  </w:style>
  <w:style w:type="character" w:customStyle="1" w:styleId="AQE111Char">
    <w:name w:val="AQE 1.1.1 Char"/>
    <w:link w:val="AQE111"/>
    <w:rsid w:val="008E29AC"/>
    <w:rPr>
      <w:rFonts w:ascii="Cambria" w:eastAsia="Times New Roman" w:hAnsi="Cambria" w:cs="Arial"/>
      <w:b/>
      <w:bCs/>
      <w:sz w:val="24"/>
      <w:szCs w:val="26"/>
      <w:lang w:eastAsia="cs-CZ"/>
    </w:rPr>
  </w:style>
  <w:style w:type="paragraph" w:customStyle="1" w:styleId="AQE1111">
    <w:name w:val="AQE 1.1.1.1"/>
    <w:basedOn w:val="Nadpis4"/>
    <w:link w:val="AQE1111Char"/>
    <w:qFormat/>
    <w:rsid w:val="008E29AC"/>
    <w:pPr>
      <w:numPr>
        <w:ilvl w:val="0"/>
        <w:numId w:val="0"/>
      </w:numPr>
    </w:pPr>
    <w:rPr>
      <w:rFonts w:eastAsia="Times New Roman"/>
    </w:rPr>
  </w:style>
  <w:style w:type="character" w:customStyle="1" w:styleId="AQE1111Char">
    <w:name w:val="AQE 1.1.1.1 Char"/>
    <w:link w:val="AQE1111"/>
    <w:rsid w:val="008E29AC"/>
    <w:rPr>
      <w:rFonts w:ascii="Cambria" w:eastAsia="Times New Roman" w:hAnsi="Cambria" w:cs="Arial"/>
      <w:b/>
      <w:sz w:val="21"/>
      <w:szCs w:val="28"/>
      <w:lang w:eastAsia="cs-CZ"/>
    </w:rPr>
  </w:style>
  <w:style w:type="paragraph" w:customStyle="1" w:styleId="AQEA">
    <w:name w:val="AQE A"/>
    <w:basedOn w:val="Normln"/>
    <w:autoRedefine/>
    <w:qFormat/>
    <w:rsid w:val="008E29AC"/>
    <w:pPr>
      <w:shd w:val="clear" w:color="auto" w:fill="A43D3A"/>
      <w:spacing w:line="276" w:lineRule="auto"/>
      <w:jc w:val="left"/>
    </w:pPr>
    <w:rPr>
      <w:rFonts w:ascii="Calibri" w:eastAsia="Times New Roman" w:hAnsi="Calibri"/>
      <w:b/>
      <w:color w:val="FFFFFF"/>
      <w:sz w:val="28"/>
      <w:szCs w:val="28"/>
    </w:rPr>
  </w:style>
  <w:style w:type="paragraph" w:customStyle="1" w:styleId="AQE3">
    <w:name w:val="AQE3"/>
    <w:basedOn w:val="Normln"/>
    <w:link w:val="AQE3Char"/>
    <w:qFormat/>
    <w:rsid w:val="008E29AC"/>
    <w:pPr>
      <w:autoSpaceDE w:val="0"/>
      <w:autoSpaceDN w:val="0"/>
      <w:adjustRightInd w:val="0"/>
    </w:pPr>
    <w:rPr>
      <w:b/>
    </w:rPr>
  </w:style>
  <w:style w:type="character" w:customStyle="1" w:styleId="AQE3Char">
    <w:name w:val="AQE3 Char"/>
    <w:basedOn w:val="Standardnpsmoodstavce"/>
    <w:link w:val="AQE3"/>
    <w:rsid w:val="008E29AC"/>
    <w:rPr>
      <w:rFonts w:ascii="Cambria" w:hAnsi="Cambria"/>
      <w:b/>
      <w:sz w:val="21"/>
      <w:szCs w:val="24"/>
      <w:lang w:val="cs-CZ"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9B4507"/>
    <w:pPr>
      <w:tabs>
        <w:tab w:val="left" w:pos="1276"/>
      </w:tabs>
      <w:spacing w:before="240" w:after="200" w:line="240" w:lineRule="auto"/>
    </w:pPr>
    <w:rPr>
      <w:b/>
      <w:bCs/>
      <w:szCs w:val="18"/>
    </w:rPr>
  </w:style>
  <w:style w:type="character" w:customStyle="1" w:styleId="apple-style-span">
    <w:name w:val="apple-style-span"/>
    <w:basedOn w:val="Standardnpsmoodstavce"/>
    <w:rsid w:val="007442DE"/>
  </w:style>
  <w:style w:type="paragraph" w:customStyle="1" w:styleId="Text1">
    <w:name w:val="Text1"/>
    <w:basedOn w:val="Zkladntext"/>
    <w:rsid w:val="00657F31"/>
    <w:pPr>
      <w:overflowPunct w:val="0"/>
      <w:autoSpaceDE w:val="0"/>
      <w:autoSpaceDN w:val="0"/>
      <w:adjustRightInd w:val="0"/>
      <w:spacing w:before="120" w:after="0" w:line="240" w:lineRule="auto"/>
      <w:ind w:firstLine="284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57F3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57F31"/>
    <w:rPr>
      <w:rFonts w:ascii="Cambria" w:hAnsi="Cambria"/>
      <w:sz w:val="21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CD7B0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image" Target="media/image18.wmf"/><Relationship Id="rId39" Type="http://schemas.openxmlformats.org/officeDocument/2006/relationships/image" Target="media/image31.wmf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34" Type="http://schemas.openxmlformats.org/officeDocument/2006/relationships/image" Target="media/image26.wmf"/><Relationship Id="rId42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33" Type="http://schemas.openxmlformats.org/officeDocument/2006/relationships/image" Target="media/image25.wmf"/><Relationship Id="rId38" Type="http://schemas.openxmlformats.org/officeDocument/2006/relationships/image" Target="media/image30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29" Type="http://schemas.openxmlformats.org/officeDocument/2006/relationships/image" Target="media/image21.wmf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image" Target="media/image16.wmf"/><Relationship Id="rId32" Type="http://schemas.openxmlformats.org/officeDocument/2006/relationships/image" Target="media/image24.wmf"/><Relationship Id="rId37" Type="http://schemas.openxmlformats.org/officeDocument/2006/relationships/image" Target="media/image29.wmf"/><Relationship Id="rId40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image" Target="media/image20.wmf"/><Relationship Id="rId36" Type="http://schemas.openxmlformats.org/officeDocument/2006/relationships/image" Target="media/image28.wmf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31" Type="http://schemas.openxmlformats.org/officeDocument/2006/relationships/image" Target="media/image23.wmf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image" Target="media/image19.wmf"/><Relationship Id="rId30" Type="http://schemas.openxmlformats.org/officeDocument/2006/relationships/image" Target="media/image22.wmf"/><Relationship Id="rId35" Type="http://schemas.openxmlformats.org/officeDocument/2006/relationships/image" Target="media/image27.wmf"/><Relationship Id="rId43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59CD8-DBCE-4006-9F05-1DDB199AD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6858</Words>
  <Characters>40468</Characters>
  <Application>Microsoft Office Word</Application>
  <DocSecurity>0</DocSecurity>
  <Lines>337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AQE advisors, a.s.</Company>
  <LinksUpToDate>false</LinksUpToDate>
  <CharactersWithSpaces>47232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Brychta</dc:creator>
  <cp:lastModifiedBy>Karban Zbyněk</cp:lastModifiedBy>
  <cp:revision>2</cp:revision>
  <cp:lastPrinted>2013-05-03T11:16:00Z</cp:lastPrinted>
  <dcterms:created xsi:type="dcterms:W3CDTF">2015-01-21T08:28:00Z</dcterms:created>
  <dcterms:modified xsi:type="dcterms:W3CDTF">2015-01-21T08:28:00Z</dcterms:modified>
</cp:coreProperties>
</file>