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F92E5D" w:rsidRPr="00903C97" w:rsidTr="00F92E5D">
        <w:trPr>
          <w:trHeight w:val="798"/>
        </w:trPr>
        <w:tc>
          <w:tcPr>
            <w:tcW w:w="9212" w:type="dxa"/>
            <w:shd w:val="pct10" w:color="auto" w:fill="auto"/>
          </w:tcPr>
          <w:p w:rsidR="00F92E5D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C80108">
              <w:rPr>
                <w:rFonts w:ascii="Palatino Linotype" w:hAnsi="Palatino Linotype"/>
                <w:b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F92E5D" w:rsidRPr="0064269E" w:rsidRDefault="00F92E5D" w:rsidP="00D23A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Čestné prohlášení – </w:t>
            </w:r>
            <w:r w:rsidR="00D23ABF">
              <w:rPr>
                <w:rFonts w:ascii="Palatino Linotype" w:hAnsi="Palatino Linotype"/>
                <w:b/>
                <w:sz w:val="28"/>
                <w:szCs w:val="28"/>
              </w:rPr>
              <w:t>Ekonomická a finanční způsobilost splnit veřejnou zakázku</w:t>
            </w:r>
          </w:p>
        </w:tc>
      </w:tr>
    </w:tbl>
    <w:p w:rsidR="00692D6B" w:rsidRPr="00DD7366" w:rsidRDefault="00692D6B" w:rsidP="00692D6B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F92E5D" w:rsidRPr="00F92E5D" w:rsidRDefault="00F92E5D" w:rsidP="00F92E5D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F92E5D" w:rsidRPr="00F92E5D" w:rsidRDefault="00F92E5D" w:rsidP="00F92E5D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F92E5D" w:rsidRPr="00F92E5D" w:rsidRDefault="00F92E5D" w:rsidP="00F92E5D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="00A73557" w:rsidRPr="00A73557">
        <w:rPr>
          <w:rFonts w:ascii="Palatino Linotype" w:eastAsia="Times New Roman" w:hAnsi="Palatino Linotype"/>
          <w:lang w:eastAsia="cs-CZ"/>
        </w:rPr>
        <w:t>, PSČ: 460 59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692D6B" w:rsidRPr="00720703" w:rsidRDefault="00491FD4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35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692D6B" w:rsidRPr="00720703" w:rsidRDefault="00491FD4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6" type="#_x0000_t34" style="position:absolute;margin-left:85.15pt;margin-top:11.65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692D6B" w:rsidRPr="00720703" w:rsidRDefault="00491FD4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8" type="#_x0000_t34" style="position:absolute;margin-left:85.15pt;margin-top:13.15pt;width:343.5pt;height:.05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692D6B" w:rsidRPr="00720703" w:rsidRDefault="00491FD4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9" type="#_x0000_t34" style="position:absolute;margin-left:85.15pt;margin-top:10.95pt;width:343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692D6B" w:rsidRPr="00720703" w:rsidRDefault="00491FD4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0" type="#_x0000_t34" style="position:absolute;margin-left:85.15pt;margin-top:11.7pt;width:343.5pt;height:.0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CF178F" w:rsidRPr="00CF178F" w:rsidRDefault="00D23ABF" w:rsidP="00D23ABF">
      <w:pPr>
        <w:spacing w:before="120"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D23ABF">
        <w:rPr>
          <w:rFonts w:ascii="Palatino Linotype" w:hAnsi="Palatino Linotype" w:cs="Arial"/>
          <w:b/>
          <w:sz w:val="20"/>
          <w:szCs w:val="20"/>
        </w:rPr>
        <w:t xml:space="preserve">Uchazeč tímto prokazuje splnění </w:t>
      </w:r>
      <w:r w:rsidRPr="00D23ABF">
        <w:rPr>
          <w:rFonts w:ascii="Palatino Linotype" w:hAnsi="Palatino Linotype" w:cs="Arial"/>
          <w:b/>
          <w:bCs/>
          <w:sz w:val="20"/>
          <w:szCs w:val="20"/>
        </w:rPr>
        <w:t xml:space="preserve">ekonomické a finanční způsobilosti dodavatele </w:t>
      </w:r>
      <w:r w:rsidRPr="00D23ABF">
        <w:rPr>
          <w:rFonts w:ascii="Palatino Linotype" w:hAnsi="Palatino Linotype" w:cs="Arial"/>
          <w:b/>
          <w:sz w:val="20"/>
          <w:szCs w:val="20"/>
        </w:rPr>
        <w:t>ve smyslu ustanovení § 50 odst. 1 písm. c) zákona č. 137/2006 Sb., o veřejných zakázkách, v platném znění (dále jen „zákon“), kdy čestně prohlašuje, že je způsobilý ekonomicky i finančně plnit předmět shora uvedené veřejné zakázky</w:t>
      </w:r>
      <w:r>
        <w:rPr>
          <w:rFonts w:ascii="Palatino Linotype" w:hAnsi="Palatino Linotype" w:cs="Arial"/>
          <w:b/>
          <w:sz w:val="20"/>
          <w:szCs w:val="20"/>
        </w:rPr>
        <w:t>.</w:t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692D6B" w:rsidRPr="00720703" w:rsidRDefault="00491FD4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V</w:t>
      </w:r>
      <w:r w:rsidR="00692D6B" w:rsidRPr="00720703">
        <w:rPr>
          <w:rFonts w:ascii="Palatino Linotype" w:hAnsi="Palatino Linotype"/>
          <w:sz w:val="20"/>
          <w:szCs w:val="20"/>
        </w:rPr>
        <w:tab/>
      </w:r>
      <w:r w:rsidR="00692D6B" w:rsidRPr="00720703">
        <w:rPr>
          <w:rFonts w:ascii="Palatino Linotype" w:hAnsi="Palatino Linotype"/>
          <w:sz w:val="20"/>
          <w:szCs w:val="20"/>
        </w:rPr>
        <w:tab/>
        <w:t>, dne</w:t>
      </w:r>
      <w:r w:rsidR="00692D6B" w:rsidRPr="00720703">
        <w:rPr>
          <w:rFonts w:ascii="Palatino Linotype" w:hAnsi="Palatino Linotype"/>
          <w:sz w:val="20"/>
          <w:szCs w:val="20"/>
        </w:rPr>
        <w:tab/>
        <w:t xml:space="preserve"> </w:t>
      </w:r>
    </w:p>
    <w:p w:rsidR="00692D6B" w:rsidRPr="00720703" w:rsidRDefault="00692D6B" w:rsidP="00692D6B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72070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692D6B" w:rsidRPr="00720703" w:rsidRDefault="00491FD4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oprávněné zastupovat uchazeče</w: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 (dodavatele)</w:t>
      </w:r>
      <w:r w:rsidR="00692D6B" w:rsidRPr="00720703">
        <w:rPr>
          <w:rFonts w:ascii="Palatino Linotype" w:hAnsi="Palatino Linotype"/>
          <w:sz w:val="20"/>
          <w:szCs w:val="20"/>
        </w:rPr>
        <w:t>:</w:t>
      </w:r>
      <w:r w:rsidR="00692D6B" w:rsidRPr="00720703">
        <w:rPr>
          <w:rFonts w:ascii="Palatino Linotype" w:hAnsi="Palatino Linotype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F92E5D" w:rsidRDefault="00F92E5D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392EA4" w:rsidRPr="00720703" w:rsidRDefault="00491FD4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sectPr w:rsidR="00392EA4" w:rsidRPr="00720703" w:rsidSect="00692D6B">
      <w:headerReference w:type="default" r:id="rId6"/>
      <w:pgSz w:w="11906" w:h="16838"/>
      <w:pgMar w:top="1417" w:right="1417" w:bottom="851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D4" w:rsidRDefault="00491FD4" w:rsidP="00692D6B">
      <w:pPr>
        <w:spacing w:after="0" w:line="240" w:lineRule="auto"/>
      </w:pPr>
      <w:r>
        <w:separator/>
      </w:r>
    </w:p>
  </w:endnote>
  <w:endnote w:type="continuationSeparator" w:id="0">
    <w:p w:rsidR="00491FD4" w:rsidRDefault="00491FD4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D4" w:rsidRDefault="00491FD4" w:rsidP="00692D6B">
      <w:pPr>
        <w:spacing w:after="0" w:line="240" w:lineRule="auto"/>
      </w:pPr>
      <w:r>
        <w:separator/>
      </w:r>
    </w:p>
  </w:footnote>
  <w:footnote w:type="continuationSeparator" w:id="0">
    <w:p w:rsidR="00491FD4" w:rsidRDefault="00491FD4" w:rsidP="0069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9111F5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FB62162" wp14:editId="692B97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11F5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9111F5">
      <w:rPr>
        <w:noProof/>
        <w:color w:val="808080" w:themeColor="background1" w:themeShade="80"/>
        <w:sz w:val="20"/>
        <w:szCs w:val="20"/>
      </w:rPr>
      <w:t xml:space="preserve">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F92E5D" w:rsidRDefault="00F92E5D" w:rsidP="00F92E5D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F92E5D" w:rsidRPr="0064269E" w:rsidRDefault="00F92E5D" w:rsidP="00F92E5D">
    <w:pPr>
      <w:pStyle w:val="Zhlav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D6B"/>
    <w:rsid w:val="001F0D82"/>
    <w:rsid w:val="00204A52"/>
    <w:rsid w:val="002873FD"/>
    <w:rsid w:val="00392EA4"/>
    <w:rsid w:val="00491FD4"/>
    <w:rsid w:val="004E6555"/>
    <w:rsid w:val="00595B56"/>
    <w:rsid w:val="00596987"/>
    <w:rsid w:val="005C6A9B"/>
    <w:rsid w:val="00692D6B"/>
    <w:rsid w:val="006E3928"/>
    <w:rsid w:val="006E4DCC"/>
    <w:rsid w:val="00720703"/>
    <w:rsid w:val="007E3197"/>
    <w:rsid w:val="008E0841"/>
    <w:rsid w:val="009111F5"/>
    <w:rsid w:val="009C1FDC"/>
    <w:rsid w:val="009D7AA8"/>
    <w:rsid w:val="00A73557"/>
    <w:rsid w:val="00A928B3"/>
    <w:rsid w:val="00BA2572"/>
    <w:rsid w:val="00C80108"/>
    <w:rsid w:val="00CF178F"/>
    <w:rsid w:val="00D23ABF"/>
    <w:rsid w:val="00E43D9A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3"/>
        <o:r id="V:Rule3" type="connector" idref="#Přímá spojnice se šipkou 9"/>
        <o:r id="V:Rule4" type="connector" idref="#_x0000_s1038"/>
        <o:r id="V:Rule5" type="connector" idref="#_x0000_s1036"/>
        <o:r id="V:Rule6" type="connector" idref="#Přímá spojnice se šipkou 2"/>
        <o:r id="V:Rule7" type="connector" idref="#Přímá spojnice se šipkou 4"/>
        <o:r id="V:Rule8" type="connector" idref="#_x0000_s1039"/>
        <o:r id="V:Rule9" type="connector" idref="#_x0000_s1040"/>
      </o:rules>
    </o:shapelayout>
  </w:shapeDefaults>
  <w:decimalSymbol w:val=","/>
  <w:listSeparator w:val=";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17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178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CF17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18</cp:revision>
  <dcterms:created xsi:type="dcterms:W3CDTF">2014-11-12T06:43:00Z</dcterms:created>
  <dcterms:modified xsi:type="dcterms:W3CDTF">2015-11-13T19:35:00Z</dcterms:modified>
</cp:coreProperties>
</file>