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C039A1" w:rsidRDefault="006436FE" w:rsidP="006552C3">
      <w:pPr>
        <w:pBdr>
          <w:bottom w:val="single" w:sz="4" w:space="1" w:color="auto"/>
        </w:pBdr>
        <w:spacing w:before="0"/>
        <w:ind w:right="-1"/>
        <w:jc w:val="center"/>
      </w:pPr>
      <w:r w:rsidRPr="00C039A1">
        <w:t xml:space="preserve">uzavřená mezi níže uvedenými účastníky podle § </w:t>
      </w:r>
      <w:r w:rsidR="0078740D" w:rsidRPr="00C039A1">
        <w:t xml:space="preserve">2586 </w:t>
      </w:r>
      <w:r w:rsidR="007E03E4" w:rsidRPr="00C039A1">
        <w:t>a </w:t>
      </w:r>
      <w:r w:rsidR="0078740D" w:rsidRPr="00C039A1">
        <w:t>n</w:t>
      </w:r>
      <w:r w:rsidR="006266D0" w:rsidRPr="00C039A1">
        <w:t>ásl</w:t>
      </w:r>
      <w:r w:rsidR="0078740D" w:rsidRPr="00C039A1">
        <w:t xml:space="preserve">. </w:t>
      </w:r>
      <w:r w:rsidR="007C69B9" w:rsidRPr="00C039A1">
        <w:t>zák. č. 89/2012 Sb., občanský</w:t>
      </w:r>
      <w:r w:rsidR="0078740D" w:rsidRPr="00C039A1">
        <w:t xml:space="preserve"> </w:t>
      </w:r>
      <w:r w:rsidR="007C69B9" w:rsidRPr="00C039A1">
        <w:t>zákoník, v</w:t>
      </w:r>
      <w:r w:rsidR="00541F02" w:rsidRPr="00C039A1">
        <w:t>e</w:t>
      </w:r>
      <w:r w:rsidR="007C69B9" w:rsidRPr="00C039A1">
        <w:t>  znění</w:t>
      </w:r>
      <w:r w:rsidR="00541F02" w:rsidRPr="00C039A1">
        <w:t xml:space="preserve"> pozdějších předpisů</w:t>
      </w:r>
      <w:r w:rsidR="007C69B9" w:rsidRPr="00C039A1">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FA7886">
        <w:rPr>
          <w:rFonts w:ascii="Times New Roman" w:hAnsi="Times New Roman"/>
          <w:sz w:val="24"/>
        </w:rPr>
        <w:t>Účastníci</w:t>
      </w:r>
      <w:r w:rsidRPr="00DA288B">
        <w:rPr>
          <w:rFonts w:ascii="Times New Roman" w:hAnsi="Times New Roman"/>
        </w:rPr>
        <w:t xml:space="preserve"> </w:t>
      </w:r>
      <w:r w:rsidRPr="00FA7886">
        <w:rPr>
          <w:rFonts w:ascii="Times New Roman" w:hAnsi="Times New Roman"/>
          <w:sz w:val="24"/>
        </w:rPr>
        <w:t>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4B9854DB"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460</w:t>
      </w:r>
      <w:r w:rsidR="00FA7886">
        <w:rPr>
          <w:szCs w:val="24"/>
        </w:rPr>
        <w:t xml:space="preserve"> </w:t>
      </w:r>
      <w:r w:rsidR="00696482">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445BE25B"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4B02A8DA"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22D4E073"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6436FE" w:rsidRPr="00DA288B">
        <w:rPr>
          <w:szCs w:val="24"/>
        </w:rPr>
        <w:tab/>
      </w:r>
      <w:r w:rsidR="004D3134" w:rsidRPr="00DA288B">
        <w:rPr>
          <w:szCs w:val="24"/>
        </w:rPr>
        <w:tab/>
      </w:r>
      <w:r w:rsidR="00502F26" w:rsidRPr="00DA288B">
        <w:rPr>
          <w:szCs w:val="24"/>
        </w:rPr>
        <w:t>Č</w:t>
      </w:r>
      <w:r w:rsidR="0074400E">
        <w:rPr>
          <w:szCs w:val="24"/>
        </w:rPr>
        <w:t>eská spořitelna</w:t>
      </w:r>
      <w:r w:rsidR="00502F26" w:rsidRPr="00DA288B">
        <w:rPr>
          <w:szCs w:val="24"/>
        </w:rPr>
        <w:t>, a.s.</w:t>
      </w:r>
      <w:r w:rsidR="006436FE" w:rsidRPr="00DA288B">
        <w:rPr>
          <w:szCs w:val="24"/>
        </w:rPr>
        <w:t>, č.</w:t>
      </w:r>
      <w:r w:rsidR="00107383" w:rsidRPr="00DA288B">
        <w:rPr>
          <w:szCs w:val="24"/>
        </w:rPr>
        <w:t xml:space="preserve"> </w:t>
      </w:r>
      <w:proofErr w:type="spellStart"/>
      <w:r w:rsidR="006436FE" w:rsidRPr="00DA288B">
        <w:rPr>
          <w:szCs w:val="24"/>
        </w:rPr>
        <w:t>ú.</w:t>
      </w:r>
      <w:proofErr w:type="spellEnd"/>
      <w:r w:rsidR="006436FE" w:rsidRPr="00DA288B">
        <w:rPr>
          <w:szCs w:val="24"/>
        </w:rPr>
        <w:t>:</w:t>
      </w:r>
      <w:r w:rsidR="00502F26" w:rsidRPr="00DA288B">
        <w:rPr>
          <w:szCs w:val="24"/>
        </w:rPr>
        <w:t xml:space="preserve"> 4096142/0800</w:t>
      </w:r>
    </w:p>
    <w:p w14:paraId="4D852A55" w14:textId="0E572456"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C039A1">
        <w:rPr>
          <w:szCs w:val="24"/>
        </w:rPr>
        <w:t xml:space="preserve"> </w:t>
      </w:r>
      <w:r w:rsidR="00DA288B" w:rsidRPr="00DA288B">
        <w:rPr>
          <w:szCs w:val="24"/>
        </w:rPr>
        <w:t>Ing. Tomáš Kubica, pověřený zastupováním funkce vedoucího odboru dopravních staveb</w:t>
      </w:r>
    </w:p>
    <w:p w14:paraId="7666F820" w14:textId="12663DB0" w:rsidR="00F57310" w:rsidRPr="00DA288B" w:rsidRDefault="00DA288B" w:rsidP="008A6CE2">
      <w:pPr>
        <w:tabs>
          <w:tab w:val="left" w:pos="2268"/>
          <w:tab w:val="left" w:pos="4536"/>
        </w:tabs>
        <w:spacing w:before="0"/>
        <w:ind w:left="4536"/>
        <w:rPr>
          <w:szCs w:val="24"/>
        </w:rPr>
      </w:pPr>
      <w:r w:rsidRPr="00DA288B">
        <w:rPr>
          <w:szCs w:val="24"/>
        </w:rPr>
        <w:t>Růžičková Kristýna, pověřená zastupováním funkce vedoucí oddělení investic</w:t>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7F22F338" w14:textId="77777777" w:rsidR="008A6CE2" w:rsidRDefault="00DA288B" w:rsidP="00DA288B">
      <w:pPr>
        <w:tabs>
          <w:tab w:val="left" w:pos="567"/>
          <w:tab w:val="left" w:pos="4536"/>
        </w:tabs>
        <w:spacing w:before="0"/>
        <w:rPr>
          <w:szCs w:val="24"/>
        </w:rPr>
      </w:pPr>
      <w:r w:rsidRPr="00DA288B">
        <w:rPr>
          <w:szCs w:val="24"/>
        </w:rPr>
        <w:tab/>
      </w:r>
    </w:p>
    <w:p w14:paraId="2EC11965" w14:textId="5EBA45BD" w:rsidR="006436FE" w:rsidRPr="00DA288B" w:rsidRDefault="008A6CE2" w:rsidP="00DA288B">
      <w:pPr>
        <w:tabs>
          <w:tab w:val="left" w:pos="567"/>
          <w:tab w:val="left" w:pos="4536"/>
        </w:tabs>
        <w:spacing w:before="0"/>
        <w:rPr>
          <w:szCs w:val="24"/>
        </w:rPr>
      </w:pPr>
      <w:r>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5958FA37" w14:textId="77777777" w:rsidR="002344CF" w:rsidRDefault="006436FE" w:rsidP="008024F3">
      <w:pPr>
        <w:spacing w:after="120" w:line="259" w:lineRule="auto"/>
        <w:ind w:left="567" w:hanging="567"/>
        <w:jc w:val="both"/>
        <w:rPr>
          <w:bCs/>
          <w:szCs w:val="24"/>
        </w:rPr>
      </w:pPr>
      <w:r w:rsidRPr="00DA288B">
        <w:rPr>
          <w:szCs w:val="24"/>
        </w:rPr>
        <w:t>3.1</w:t>
      </w:r>
      <w:r w:rsidR="00EF2F20" w:rsidRPr="00DA288B">
        <w:rPr>
          <w:szCs w:val="24"/>
        </w:rPr>
        <w:tab/>
      </w:r>
      <w:r w:rsidR="002344CF">
        <w:rPr>
          <w:szCs w:val="24"/>
        </w:rPr>
        <w:t xml:space="preserve">Předmětem plnění této veřejné zakázky je </w:t>
      </w:r>
      <w:r w:rsidR="002344CF" w:rsidRPr="005819B3">
        <w:rPr>
          <w:szCs w:val="24"/>
        </w:rPr>
        <w:t>s</w:t>
      </w:r>
      <w:r w:rsidR="002344CF" w:rsidRPr="005819B3">
        <w:rPr>
          <w:bCs/>
          <w:szCs w:val="24"/>
        </w:rPr>
        <w:t xml:space="preserve">ouvislá údržba místní komunikace v ul. Karlovská a oprava propustku. </w:t>
      </w:r>
    </w:p>
    <w:p w14:paraId="458406D1" w14:textId="77777777" w:rsidR="002344CF" w:rsidRPr="00603080" w:rsidRDefault="002344CF" w:rsidP="0074400E">
      <w:pPr>
        <w:spacing w:after="120" w:line="259" w:lineRule="auto"/>
        <w:ind w:left="567"/>
        <w:jc w:val="both"/>
        <w:rPr>
          <w:szCs w:val="24"/>
        </w:rPr>
      </w:pPr>
      <w:r w:rsidRPr="005819B3">
        <w:rPr>
          <w:bCs/>
          <w:szCs w:val="24"/>
        </w:rPr>
        <w:t>V rá</w:t>
      </w:r>
      <w:r w:rsidRPr="007A0595">
        <w:rPr>
          <w:bCs/>
          <w:szCs w:val="24"/>
        </w:rPr>
        <w:t xml:space="preserve">mci souvislé údržby bude provedena </w:t>
      </w:r>
      <w:r w:rsidRPr="007A0595">
        <w:rPr>
          <w:szCs w:val="24"/>
        </w:rPr>
        <w:t>oprava povrchu vozovky místní komunikace</w:t>
      </w:r>
      <w:r>
        <w:rPr>
          <w:szCs w:val="24"/>
        </w:rPr>
        <w:t>.</w:t>
      </w:r>
      <w:r w:rsidRPr="007A0595">
        <w:rPr>
          <w:szCs w:val="24"/>
        </w:rPr>
        <w:t xml:space="preserve"> </w:t>
      </w:r>
      <w:r>
        <w:rPr>
          <w:szCs w:val="24"/>
        </w:rPr>
        <w:t>Oprava b</w:t>
      </w:r>
      <w:r w:rsidRPr="007A0595">
        <w:rPr>
          <w:szCs w:val="24"/>
        </w:rPr>
        <w:t>ude prováděna v rozsahu stávajícího uličního prostoru, ve stávajícím půdorysném i výškovém rozsahu, bez budování staveb nových</w:t>
      </w:r>
      <w:r w:rsidRPr="007A0595">
        <w:t>.</w:t>
      </w:r>
      <w:r>
        <w:t xml:space="preserve"> Stávající komunikace bude odfrézována, v problematických místech bude provedena hutnící zkouška. V případě potřeby dojde k </w:t>
      </w:r>
      <w:proofErr w:type="spellStart"/>
      <w:r>
        <w:t>přehutnění</w:t>
      </w:r>
      <w:proofErr w:type="spellEnd"/>
      <w:r>
        <w:t xml:space="preserve"> podkladu a případnému dorovnání ze </w:t>
      </w:r>
      <w:proofErr w:type="spellStart"/>
      <w:r>
        <w:t>štěrkodrti</w:t>
      </w:r>
      <w:proofErr w:type="spellEnd"/>
      <w:r>
        <w:t xml:space="preserve">. </w:t>
      </w:r>
      <w:r w:rsidRPr="00603080">
        <w:rPr>
          <w:szCs w:val="24"/>
        </w:rPr>
        <w:t>Poté bude nanesen infiltrační postřik a na upravený podklad bude položen výztužný</w:t>
      </w:r>
      <w:r>
        <w:rPr>
          <w:szCs w:val="24"/>
        </w:rPr>
        <w:t xml:space="preserve"> </w:t>
      </w:r>
      <w:r w:rsidRPr="00603080">
        <w:rPr>
          <w:szCs w:val="24"/>
        </w:rPr>
        <w:t xml:space="preserve">skelný </w:t>
      </w:r>
      <w:proofErr w:type="spellStart"/>
      <w:r w:rsidRPr="00603080">
        <w:rPr>
          <w:szCs w:val="24"/>
        </w:rPr>
        <w:t>geokompozit</w:t>
      </w:r>
      <w:proofErr w:type="spellEnd"/>
      <w:r w:rsidRPr="00603080">
        <w:rPr>
          <w:szCs w:val="24"/>
        </w:rPr>
        <w:t xml:space="preserve"> s </w:t>
      </w:r>
      <w:proofErr w:type="spellStart"/>
      <w:r w:rsidRPr="00603080">
        <w:rPr>
          <w:szCs w:val="24"/>
        </w:rPr>
        <w:t>geotextilií</w:t>
      </w:r>
      <w:proofErr w:type="spellEnd"/>
      <w:r w:rsidRPr="00603080">
        <w:rPr>
          <w:szCs w:val="24"/>
        </w:rPr>
        <w:t>. Na něj bude položena vrstva podkladního asfaltu</w:t>
      </w:r>
      <w:r>
        <w:rPr>
          <w:szCs w:val="24"/>
        </w:rPr>
        <w:t>. Krajnice budou zatravněné. Napojení na stávající asfaltový kryt bude provedeno pomocí pružné asfaltové zálivky. Vjezdy budou provedeny ze žulových kostek v plné konstrukci. V rámci odvodnění dojde k pročištění stávajících příkopů a propustků podél vozovky. Před domem č. p. 75 dojde k odstranění stávajícího rozpadlého žlabu a bude nahrazen novým.</w:t>
      </w:r>
    </w:p>
    <w:p w14:paraId="75065CE9" w14:textId="77777777" w:rsidR="002344CF" w:rsidRPr="002645C7" w:rsidRDefault="002344CF" w:rsidP="008024F3">
      <w:pPr>
        <w:spacing w:after="120" w:line="259" w:lineRule="auto"/>
        <w:ind w:left="567"/>
        <w:rPr>
          <w:szCs w:val="24"/>
        </w:rPr>
      </w:pPr>
      <w:r w:rsidRPr="00614416">
        <w:rPr>
          <w:szCs w:val="24"/>
        </w:rPr>
        <w:t>Dalším předmětem bude oprava propustku v ul. Karlovská</w:t>
      </w:r>
      <w:r w:rsidRPr="002D2375">
        <w:rPr>
          <w:rFonts w:eastAsia="CIDFont+F1"/>
          <w:szCs w:val="24"/>
        </w:rPr>
        <w:t>.</w:t>
      </w:r>
      <w:r>
        <w:rPr>
          <w:rFonts w:eastAsia="CIDFont+F1"/>
          <w:szCs w:val="24"/>
        </w:rPr>
        <w:t xml:space="preserve"> </w:t>
      </w:r>
      <w:r w:rsidRPr="002645C7">
        <w:rPr>
          <w:szCs w:val="24"/>
        </w:rPr>
        <w:t>Z důvodu havarijního stavu propustku bude provedena jeho oprava a stávající</w:t>
      </w:r>
      <w:r>
        <w:rPr>
          <w:szCs w:val="24"/>
        </w:rPr>
        <w:t xml:space="preserve"> </w:t>
      </w:r>
      <w:r w:rsidRPr="002645C7">
        <w:rPr>
          <w:szCs w:val="24"/>
        </w:rPr>
        <w:t>propustek bude nahrazen propustkem novým o světlosti 600</w:t>
      </w:r>
      <w:r>
        <w:rPr>
          <w:szCs w:val="24"/>
        </w:rPr>
        <w:t xml:space="preserve"> </w:t>
      </w:r>
      <w:r w:rsidRPr="002645C7">
        <w:rPr>
          <w:szCs w:val="24"/>
        </w:rPr>
        <w:t>mm. Čela propustku budou</w:t>
      </w:r>
      <w:r>
        <w:rPr>
          <w:szCs w:val="24"/>
        </w:rPr>
        <w:t xml:space="preserve"> </w:t>
      </w:r>
      <w:r w:rsidRPr="002645C7">
        <w:rPr>
          <w:szCs w:val="24"/>
        </w:rPr>
        <w:t>betonová, se železobetonovými římsami, na kterých bude osazeno 3-madlové trubkové</w:t>
      </w:r>
      <w:r>
        <w:rPr>
          <w:szCs w:val="24"/>
        </w:rPr>
        <w:t xml:space="preserve"> </w:t>
      </w:r>
      <w:r w:rsidRPr="002645C7">
        <w:rPr>
          <w:szCs w:val="24"/>
        </w:rPr>
        <w:t>zábradlí.</w:t>
      </w:r>
    </w:p>
    <w:p w14:paraId="6969D015" w14:textId="711CD416" w:rsidR="0089148E" w:rsidRPr="00DA288B" w:rsidRDefault="0089148E" w:rsidP="00DA288B">
      <w:pPr>
        <w:overflowPunct/>
        <w:spacing w:before="0" w:after="120"/>
        <w:ind w:left="567"/>
        <w:jc w:val="both"/>
        <w:textAlignment w:val="auto"/>
        <w:rPr>
          <w:rFonts w:eastAsia="Calibri"/>
          <w:szCs w:val="24"/>
        </w:rPr>
      </w:pPr>
    </w:p>
    <w:p w14:paraId="0262352B" w14:textId="4C2C8EC8"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221FDA1A" w14:textId="3EF967F8" w:rsidR="005D24D6" w:rsidRPr="0074400E" w:rsidRDefault="007C00C1" w:rsidP="0074400E">
      <w:pPr>
        <w:pStyle w:val="Odstavecseseznamem"/>
        <w:numPr>
          <w:ilvl w:val="0"/>
          <w:numId w:val="35"/>
        </w:numPr>
        <w:tabs>
          <w:tab w:val="left" w:pos="567"/>
        </w:tabs>
        <w:spacing w:after="80"/>
        <w:ind w:left="567"/>
        <w:jc w:val="both"/>
        <w:rPr>
          <w:rFonts w:eastAsia="Arial"/>
        </w:rPr>
      </w:pPr>
      <w:r w:rsidRPr="0074400E">
        <w:rPr>
          <w:rFonts w:eastAsia="Arial"/>
        </w:rPr>
        <w:t xml:space="preserve">projektové dokumentace </w:t>
      </w:r>
      <w:r w:rsidR="007C4232" w:rsidRPr="0074400E">
        <w:rPr>
          <w:rFonts w:eastAsia="Arial"/>
        </w:rPr>
        <w:t>(</w:t>
      </w:r>
      <w:r w:rsidR="000E6E93" w:rsidRPr="0074400E">
        <w:rPr>
          <w:rFonts w:eastAsia="Lucida Sans Unicode"/>
          <w:kern w:val="2"/>
          <w:lang w:eastAsia="hi-IN" w:bidi="hi-IN"/>
        </w:rPr>
        <w:t>DPS</w:t>
      </w:r>
      <w:r w:rsidR="007C4232" w:rsidRPr="0074400E">
        <w:rPr>
          <w:rFonts w:eastAsia="Lucida Sans Unicode"/>
          <w:kern w:val="2"/>
          <w:lang w:eastAsia="hi-IN" w:bidi="hi-IN"/>
        </w:rPr>
        <w:t>)</w:t>
      </w:r>
      <w:r w:rsidR="000E6E93" w:rsidRPr="0074400E">
        <w:rPr>
          <w:rFonts w:eastAsia="Arial"/>
        </w:rPr>
        <w:t>, č. </w:t>
      </w:r>
      <w:proofErr w:type="spellStart"/>
      <w:r w:rsidR="000E6E93" w:rsidRPr="0074400E">
        <w:rPr>
          <w:rFonts w:eastAsia="Arial"/>
        </w:rPr>
        <w:t>zak</w:t>
      </w:r>
      <w:proofErr w:type="spellEnd"/>
      <w:r w:rsidR="000E6E93" w:rsidRPr="0074400E">
        <w:rPr>
          <w:rFonts w:eastAsia="Arial"/>
        </w:rPr>
        <w:t xml:space="preserve">. </w:t>
      </w:r>
      <w:r w:rsidR="005D24D6" w:rsidRPr="0074400E">
        <w:rPr>
          <w:rFonts w:eastAsia="Arial"/>
        </w:rPr>
        <w:t>250302</w:t>
      </w:r>
      <w:r w:rsidR="000E6E93" w:rsidRPr="0074400E">
        <w:rPr>
          <w:rFonts w:eastAsia="Arial"/>
        </w:rPr>
        <w:t xml:space="preserve">, kterou zpracoval </w:t>
      </w:r>
      <w:r w:rsidR="005D24D6" w:rsidRPr="0074400E">
        <w:rPr>
          <w:rFonts w:eastAsia="Arial"/>
        </w:rPr>
        <w:t>Ing. Jiří Šklíba</w:t>
      </w:r>
      <w:r w:rsidR="000E6E93" w:rsidRPr="0074400E">
        <w:rPr>
          <w:rFonts w:eastAsia="Calibri"/>
        </w:rPr>
        <w:t xml:space="preserve">, IČ: </w:t>
      </w:r>
      <w:r w:rsidR="005D24D6" w:rsidRPr="0074400E">
        <w:rPr>
          <w:rFonts w:eastAsia="Calibri"/>
        </w:rPr>
        <w:t>035</w:t>
      </w:r>
      <w:r w:rsidR="0074400E" w:rsidRPr="0074400E">
        <w:rPr>
          <w:rFonts w:eastAsia="Calibri"/>
        </w:rPr>
        <w:t xml:space="preserve"> </w:t>
      </w:r>
      <w:r w:rsidR="005D24D6" w:rsidRPr="0074400E">
        <w:rPr>
          <w:rFonts w:eastAsia="Calibri"/>
        </w:rPr>
        <w:t>13</w:t>
      </w:r>
      <w:r w:rsidR="0074400E" w:rsidRPr="0074400E">
        <w:rPr>
          <w:rFonts w:eastAsia="Calibri"/>
        </w:rPr>
        <w:t xml:space="preserve"> </w:t>
      </w:r>
      <w:r w:rsidR="005D24D6" w:rsidRPr="0074400E">
        <w:rPr>
          <w:rFonts w:eastAsia="Calibri"/>
        </w:rPr>
        <w:t>602</w:t>
      </w:r>
      <w:r w:rsidR="000E6E93" w:rsidRPr="0074400E">
        <w:rPr>
          <w:rFonts w:eastAsia="Calibri"/>
        </w:rPr>
        <w:t xml:space="preserve">, se sídlem </w:t>
      </w:r>
      <w:r w:rsidR="005D24D6" w:rsidRPr="0074400E">
        <w:rPr>
          <w:rFonts w:eastAsia="Calibri"/>
        </w:rPr>
        <w:t>Bukovina 75, 511 01 Turnov</w:t>
      </w:r>
      <w:r w:rsidR="000E6E93" w:rsidRPr="0074400E">
        <w:rPr>
          <w:rFonts w:eastAsia="Calibri"/>
        </w:rPr>
        <w:t xml:space="preserve">, </w:t>
      </w:r>
      <w:r w:rsidR="000E6E93" w:rsidRPr="0074400E">
        <w:rPr>
          <w:rFonts w:eastAsia="Arial"/>
        </w:rPr>
        <w:t>číslo autorizace ČKAIT - 050</w:t>
      </w:r>
      <w:r w:rsidR="009F5855" w:rsidRPr="0074400E">
        <w:rPr>
          <w:rFonts w:eastAsia="Arial"/>
        </w:rPr>
        <w:t>1201</w:t>
      </w:r>
      <w:r w:rsidR="000E6E93" w:rsidRPr="0074400E">
        <w:rPr>
          <w:rFonts w:eastAsia="Arial"/>
        </w:rPr>
        <w:t xml:space="preserve"> – Dopravní stavby </w:t>
      </w:r>
    </w:p>
    <w:p w14:paraId="7E4C2694" w14:textId="5DB7B9F4" w:rsidR="005D24D6" w:rsidRDefault="004B0450" w:rsidP="0074400E">
      <w:pPr>
        <w:pStyle w:val="Odstavecseseznamem"/>
        <w:numPr>
          <w:ilvl w:val="0"/>
          <w:numId w:val="35"/>
        </w:numPr>
        <w:tabs>
          <w:tab w:val="left" w:pos="567"/>
        </w:tabs>
        <w:spacing w:after="80"/>
        <w:ind w:left="567"/>
        <w:jc w:val="both"/>
        <w:rPr>
          <w:rFonts w:eastAsia="Arial"/>
        </w:rPr>
      </w:pPr>
      <w:r>
        <w:rPr>
          <w:rFonts w:eastAsia="Arial"/>
        </w:rPr>
        <w:t>p</w:t>
      </w:r>
      <w:r w:rsidR="0074400E">
        <w:rPr>
          <w:rFonts w:eastAsia="Arial"/>
        </w:rPr>
        <w:t>rojektové</w:t>
      </w:r>
      <w:r>
        <w:rPr>
          <w:rFonts w:eastAsia="Arial"/>
        </w:rPr>
        <w:t xml:space="preserve"> dokumentace, č. </w:t>
      </w:r>
      <w:proofErr w:type="spellStart"/>
      <w:r>
        <w:rPr>
          <w:rFonts w:eastAsia="Arial"/>
        </w:rPr>
        <w:t>zak</w:t>
      </w:r>
      <w:proofErr w:type="spellEnd"/>
      <w:r>
        <w:rPr>
          <w:rFonts w:eastAsia="Arial"/>
        </w:rPr>
        <w:t xml:space="preserve">. 23-015, kterou zpracovala společnost RAL </w:t>
      </w:r>
      <w:r w:rsidR="0074400E">
        <w:rPr>
          <w:rFonts w:eastAsia="Arial"/>
        </w:rPr>
        <w:t>PROJEKT</w:t>
      </w:r>
      <w:r>
        <w:rPr>
          <w:rFonts w:eastAsia="Arial"/>
        </w:rPr>
        <w:t xml:space="preserve"> s.r.o., IČ: 018</w:t>
      </w:r>
      <w:r w:rsidR="0074400E">
        <w:rPr>
          <w:rFonts w:eastAsia="Arial"/>
        </w:rPr>
        <w:t xml:space="preserve"> </w:t>
      </w:r>
      <w:r>
        <w:rPr>
          <w:rFonts w:eastAsia="Arial"/>
        </w:rPr>
        <w:t>79</w:t>
      </w:r>
      <w:r w:rsidR="0074400E">
        <w:rPr>
          <w:rFonts w:eastAsia="Arial"/>
        </w:rPr>
        <w:t xml:space="preserve"> </w:t>
      </w:r>
      <w:r>
        <w:rPr>
          <w:rFonts w:eastAsia="Arial"/>
        </w:rPr>
        <w:t xml:space="preserve">570, se sídlem Pod Vodárnou 4746/5c, 4966 05 Jablonec nad Nisou, odpovědný projektant Ing. Radka </w:t>
      </w:r>
      <w:proofErr w:type="spellStart"/>
      <w:r>
        <w:rPr>
          <w:rFonts w:eastAsia="Arial"/>
        </w:rPr>
        <w:t>Louthanová</w:t>
      </w:r>
      <w:proofErr w:type="spellEnd"/>
      <w:r>
        <w:rPr>
          <w:rFonts w:eastAsia="Arial"/>
        </w:rPr>
        <w:t xml:space="preserve">, číslo autorizace ČKAIT - 0501196 </w:t>
      </w:r>
      <w:r w:rsidR="0074400E">
        <w:rPr>
          <w:rFonts w:eastAsia="Arial"/>
        </w:rPr>
        <w:t xml:space="preserve">– mosty </w:t>
      </w:r>
      <w:r w:rsidR="009F5855">
        <w:rPr>
          <w:rFonts w:eastAsia="Arial"/>
        </w:rPr>
        <w:t>inženýrské konstrukce</w:t>
      </w:r>
      <w:r>
        <w:rPr>
          <w:rFonts w:eastAsia="Arial"/>
        </w:rPr>
        <w:t xml:space="preserve"> </w:t>
      </w:r>
    </w:p>
    <w:p w14:paraId="0C9E5577" w14:textId="7DB2A80A" w:rsidR="0083544E" w:rsidRPr="00DA288B" w:rsidRDefault="000E6E93" w:rsidP="004B0450">
      <w:pPr>
        <w:tabs>
          <w:tab w:val="left" w:pos="567"/>
        </w:tabs>
        <w:spacing w:before="0" w:after="80"/>
        <w:ind w:left="567"/>
        <w:jc w:val="both"/>
        <w:rPr>
          <w:rFonts w:eastAsia="Arial"/>
          <w:szCs w:val="24"/>
        </w:rPr>
      </w:pPr>
      <w:r w:rsidRPr="007C00C1">
        <w:rPr>
          <w:rFonts w:eastAsia="Arial"/>
          <w:szCs w:val="24"/>
        </w:rPr>
        <w:t xml:space="preserve">(dále jen </w:t>
      </w:r>
      <w:r w:rsidRPr="007C00C1">
        <w:rPr>
          <w:rFonts w:eastAsia="Arial"/>
          <w:b/>
          <w:szCs w:val="24"/>
        </w:rPr>
        <w:t>„projektová dokumentace“</w:t>
      </w:r>
      <w:r w:rsidRPr="007C00C1">
        <w:rPr>
          <w:rFonts w:eastAsia="Arial"/>
          <w:szCs w:val="24"/>
        </w:rPr>
        <w:t>)</w:t>
      </w:r>
      <w:r>
        <w:rPr>
          <w:rFonts w:eastAsia="Arial"/>
          <w:szCs w:val="24"/>
        </w:rPr>
        <w:t xml:space="preserve">, </w:t>
      </w:r>
      <w:r w:rsidR="007C00C1" w:rsidRPr="007C00C1">
        <w:rPr>
          <w:rFonts w:eastAsia="Arial"/>
          <w:szCs w:val="24"/>
        </w:rPr>
        <w:t xml:space="preserve">která byla nedílnou součástí zadávací dokumentace veřejné zakázky </w:t>
      </w:r>
      <w:r w:rsidR="007C00C1" w:rsidRPr="007C00C1">
        <w:rPr>
          <w:b/>
          <w:bCs/>
          <w:szCs w:val="24"/>
        </w:rPr>
        <w:t>„</w:t>
      </w:r>
      <w:r w:rsidR="00DA7E3F">
        <w:rPr>
          <w:b/>
          <w:bCs/>
          <w:szCs w:val="24"/>
        </w:rPr>
        <w:t>Souvislá údržba</w:t>
      </w:r>
      <w:r w:rsidR="004B47BC">
        <w:rPr>
          <w:b/>
          <w:bCs/>
          <w:szCs w:val="24"/>
        </w:rPr>
        <w:t xml:space="preserve"> místní komunikace v ul. Karlovská a oprava propustku</w:t>
      </w:r>
      <w:r w:rsidR="007C00C1" w:rsidRPr="007C00C1">
        <w:rPr>
          <w:b/>
          <w:bCs/>
          <w:szCs w:val="24"/>
        </w:rPr>
        <w:t xml:space="preserve"> “</w:t>
      </w:r>
      <w:r w:rsidR="00207826" w:rsidRPr="007C00C1">
        <w:rPr>
          <w:rFonts w:eastAsia="Arial"/>
          <w:szCs w:val="24"/>
        </w:rPr>
        <w:t>,</w:t>
      </w:r>
      <w:r w:rsidR="00207826" w:rsidRPr="00DA288B">
        <w:rPr>
          <w:rFonts w:eastAsia="Arial"/>
          <w:szCs w:val="24"/>
        </w:rPr>
        <w:t xml:space="preserve">  na jejímž základě je uzavírána tato smlouva, </w:t>
      </w:r>
      <w:r w:rsidR="00C039A1">
        <w:rPr>
          <w:rFonts w:eastAsia="Arial"/>
          <w:szCs w:val="24"/>
        </w:rPr>
        <w:t xml:space="preserve">a </w:t>
      </w:r>
      <w:r w:rsidR="00207826" w:rsidRPr="00DA288B">
        <w:rPr>
          <w:rFonts w:eastAsia="Arial"/>
          <w:szCs w:val="24"/>
        </w:rPr>
        <w:t>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47D94A23" w14:textId="1158E8E4" w:rsidR="00A011E1" w:rsidRDefault="00A011E1" w:rsidP="00DA288B">
      <w:pPr>
        <w:pStyle w:val="Zkladntext3"/>
        <w:spacing w:after="0"/>
        <w:ind w:left="567"/>
        <w:rPr>
          <w:rFonts w:cs="Times New Roman"/>
          <w:b/>
          <w:sz w:val="24"/>
          <w:szCs w:val="24"/>
        </w:rPr>
      </w:pPr>
    </w:p>
    <w:p w14:paraId="1AEB3B83" w14:textId="67A139D6" w:rsidR="0074400E" w:rsidRDefault="0074400E" w:rsidP="00DA288B">
      <w:pPr>
        <w:pStyle w:val="Zkladntext3"/>
        <w:spacing w:after="0"/>
        <w:ind w:left="567"/>
        <w:rPr>
          <w:rFonts w:cs="Times New Roman"/>
          <w:b/>
          <w:sz w:val="24"/>
          <w:szCs w:val="24"/>
        </w:rPr>
      </w:pPr>
    </w:p>
    <w:p w14:paraId="2F34A261" w14:textId="77777777" w:rsidR="0074400E" w:rsidRDefault="0074400E" w:rsidP="00DA288B">
      <w:pPr>
        <w:pStyle w:val="Zkladntext3"/>
        <w:spacing w:after="0"/>
        <w:ind w:left="567"/>
        <w:rPr>
          <w:rFonts w:cs="Times New Roman"/>
          <w:b/>
          <w:sz w:val="24"/>
          <w:szCs w:val="24"/>
        </w:rPr>
      </w:pPr>
    </w:p>
    <w:p w14:paraId="7FCEB726" w14:textId="77777777" w:rsidR="00A011E1" w:rsidRDefault="00A011E1" w:rsidP="00DA288B">
      <w:pPr>
        <w:pStyle w:val="Zkladntext3"/>
        <w:spacing w:after="0"/>
        <w:ind w:left="567"/>
        <w:rPr>
          <w:rFonts w:cs="Times New Roman"/>
          <w:b/>
          <w:sz w:val="24"/>
          <w:szCs w:val="24"/>
        </w:rPr>
      </w:pPr>
    </w:p>
    <w:p w14:paraId="085B8561" w14:textId="77777777" w:rsidR="00A011E1" w:rsidRDefault="00A011E1" w:rsidP="00DA288B">
      <w:pPr>
        <w:pStyle w:val="Zkladntext3"/>
        <w:spacing w:after="0"/>
        <w:ind w:left="567"/>
        <w:rPr>
          <w:rFonts w:cs="Times New Roman"/>
          <w:b/>
          <w:sz w:val="24"/>
          <w:szCs w:val="24"/>
        </w:rPr>
      </w:pPr>
    </w:p>
    <w:p w14:paraId="00922ED8" w14:textId="293599D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lastRenderedPageBreak/>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1D3F2EA5" w:rsidR="006436FE" w:rsidRPr="00DA288B" w:rsidRDefault="006436FE" w:rsidP="0074400E">
      <w:pPr>
        <w:pStyle w:val="Zkladntext3"/>
        <w:tabs>
          <w:tab w:val="left" w:pos="2127"/>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4B47BC">
        <w:rPr>
          <w:rFonts w:cs="Times New Roman"/>
          <w:b/>
          <w:kern w:val="2"/>
          <w:sz w:val="24"/>
          <w:szCs w:val="24"/>
        </w:rPr>
        <w:t>„</w:t>
      </w:r>
      <w:r w:rsidR="004B47BC" w:rsidRPr="004B47BC">
        <w:rPr>
          <w:b/>
          <w:bCs/>
          <w:sz w:val="24"/>
          <w:szCs w:val="24"/>
        </w:rPr>
        <w:t>Souvislá údržba místní komu</w:t>
      </w:r>
      <w:r w:rsidR="0074400E">
        <w:rPr>
          <w:b/>
          <w:bCs/>
          <w:sz w:val="24"/>
          <w:szCs w:val="24"/>
        </w:rPr>
        <w:t>nikace v ul. Karlovská a oprava</w:t>
      </w:r>
      <w:r w:rsidR="0074400E">
        <w:rPr>
          <w:b/>
          <w:bCs/>
          <w:sz w:val="24"/>
          <w:szCs w:val="24"/>
          <w:lang w:val="cs-CZ"/>
        </w:rPr>
        <w:t xml:space="preserve"> </w:t>
      </w:r>
      <w:r w:rsidR="004B47BC" w:rsidRPr="004B47BC">
        <w:rPr>
          <w:b/>
          <w:bCs/>
          <w:sz w:val="24"/>
          <w:szCs w:val="24"/>
        </w:rPr>
        <w:t>propustku</w:t>
      </w:r>
      <w:r w:rsidR="007C00C1" w:rsidRPr="004B47BC">
        <w:rPr>
          <w:rFonts w:cs="Times New Roman"/>
          <w:b/>
          <w:sz w:val="24"/>
          <w:szCs w:val="24"/>
        </w:rPr>
        <w:t>“</w:t>
      </w:r>
    </w:p>
    <w:p w14:paraId="620E04FB" w14:textId="0A2204FA" w:rsidR="004B47BC" w:rsidRDefault="006436FE" w:rsidP="0074400E">
      <w:pPr>
        <w:ind w:left="2124" w:hanging="1557"/>
        <w:jc w:val="both"/>
      </w:pPr>
      <w:r w:rsidRPr="00DA288B">
        <w:rPr>
          <w:szCs w:val="24"/>
        </w:rPr>
        <w:t>Místo stavby:</w:t>
      </w:r>
      <w:r w:rsidR="00B37029" w:rsidRPr="00DA288B">
        <w:rPr>
          <w:szCs w:val="24"/>
        </w:rPr>
        <w:tab/>
      </w:r>
      <w:r w:rsidR="004B47BC">
        <w:t>ulice Karlovská, v úseku od ul. Mimoňské až po č. p. 162, dotčené parcely opravou propustku: p. č. 952/6, p. č. 1065</w:t>
      </w:r>
    </w:p>
    <w:p w14:paraId="5625AC4E" w14:textId="77777777" w:rsidR="004B47BC" w:rsidRDefault="004B47BC" w:rsidP="004B47BC">
      <w:pPr>
        <w:ind w:firstLine="567"/>
        <w:jc w:val="both"/>
      </w:pPr>
    </w:p>
    <w:p w14:paraId="07E6A130" w14:textId="2B8D2D42" w:rsidR="006436FE" w:rsidRPr="00DA288B" w:rsidRDefault="006436FE" w:rsidP="004B47BC">
      <w:pPr>
        <w:pStyle w:val="Zkladntext3"/>
        <w:tabs>
          <w:tab w:val="left" w:pos="2268"/>
        </w:tabs>
        <w:spacing w:after="0"/>
        <w:ind w:left="2268" w:hanging="1701"/>
        <w:jc w:val="both"/>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238A0BF1"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Pr="00DA288B">
        <w:rPr>
          <w:rFonts w:cs="Times New Roman"/>
          <w:bCs/>
          <w:iCs/>
        </w:rPr>
        <w:t xml:space="preserve">dle </w:t>
      </w:r>
      <w:r w:rsidR="00452EC3">
        <w:rPr>
          <w:rFonts w:cs="Times New Roman"/>
          <w:bCs/>
          <w:iCs/>
          <w:lang w:val="cs-CZ"/>
        </w:rPr>
        <w:t xml:space="preserve">platné a účinné </w:t>
      </w:r>
      <w:r w:rsidRPr="00DA288B">
        <w:rPr>
          <w:rFonts w:cs="Times New Roman"/>
          <w:bCs/>
          <w:iCs/>
        </w:rPr>
        <w:t xml:space="preserve">vyhlášky </w:t>
      </w:r>
      <w:r w:rsidR="00452EC3">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proofErr w:type="spellStart"/>
      <w:r w:rsidR="004A5AE6" w:rsidRPr="00DA288B">
        <w:rPr>
          <w:rFonts w:cs="Times New Roman"/>
          <w:bCs/>
          <w:iCs/>
        </w:rPr>
        <w:t>Auto</w:t>
      </w:r>
      <w:r w:rsidR="004A5AE6" w:rsidRPr="00DA288B">
        <w:rPr>
          <w:rFonts w:cs="Times New Roman"/>
          <w:bCs/>
          <w:iCs/>
          <w:lang w:val="cs-CZ"/>
        </w:rPr>
        <w:t>CAD</w:t>
      </w:r>
      <w:proofErr w:type="spellEnd"/>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w:t>
      </w:r>
      <w:r w:rsidRPr="0074400E">
        <w:rPr>
          <w:rFonts w:cs="Times New Roman"/>
          <w:b/>
          <w:bCs/>
          <w:iCs/>
        </w:rPr>
        <w:t>DSPS</w:t>
      </w:r>
      <w:r w:rsidRPr="00DA288B">
        <w:rPr>
          <w:rFonts w:cs="Times New Roman"/>
          <w:bCs/>
          <w:iCs/>
        </w:rPr>
        <w:t>“)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proofErr w:type="spellStart"/>
      <w:r w:rsidR="00F77A18" w:rsidRPr="00DA288B">
        <w:rPr>
          <w:rFonts w:cs="Times New Roman"/>
          <w:bCs/>
          <w:iCs/>
          <w:lang w:val="cs-CZ"/>
        </w:rPr>
        <w:t>Microstation</w:t>
      </w:r>
      <w:proofErr w:type="spellEnd"/>
      <w:r w:rsidR="00F77A18" w:rsidRPr="00DA288B">
        <w:rPr>
          <w:rFonts w:cs="Times New Roman"/>
          <w:bCs/>
          <w:iCs/>
          <w:lang w:val="cs-CZ"/>
        </w:rPr>
        <w:t xml:space="preserve">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w:t>
      </w:r>
      <w:proofErr w:type="spellStart"/>
      <w:r w:rsidR="00F77A18" w:rsidRPr="00DA288B">
        <w:t>mezideponie</w:t>
      </w:r>
      <w:proofErr w:type="spellEnd"/>
      <w:r w:rsidR="00F77A18" w:rsidRPr="00DA288B">
        <w:t>,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w:t>
      </w:r>
      <w:r w:rsidRPr="00DA288B">
        <w:lastRenderedPageBreak/>
        <w:t xml:space="preserve">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AA0A48" w:rsidRPr="00DA288B">
        <w:t>,</w:t>
      </w:r>
    </w:p>
    <w:p w14:paraId="33877AE1"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30BD0655" w14:textId="77777777" w:rsidR="007A5BB1" w:rsidRPr="00DA288B" w:rsidRDefault="00B07194"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před předáním díla zajistit </w:t>
      </w:r>
      <w:r w:rsidR="007A5BB1" w:rsidRPr="00DA288B">
        <w:t>písemné odsouhlasení provedení díl</w:t>
      </w:r>
      <w:r w:rsidR="007E03E4" w:rsidRPr="00DA288B">
        <w:t>a </w:t>
      </w:r>
      <w:r w:rsidR="007A5BB1" w:rsidRPr="00DA288B">
        <w:t xml:space="preserve">krajským konzultačním střediskem NIPI ČR, </w:t>
      </w:r>
      <w:proofErr w:type="spellStart"/>
      <w:proofErr w:type="gramStart"/>
      <w:r w:rsidR="0097555A" w:rsidRPr="00DA288B">
        <w:t>o</w:t>
      </w:r>
      <w:r w:rsidR="007A5BB1" w:rsidRPr="00DA288B">
        <w:t>.s</w:t>
      </w:r>
      <w:proofErr w:type="spellEnd"/>
      <w:r w:rsidR="007A5BB1" w:rsidRPr="00DA288B">
        <w:t>.</w:t>
      </w:r>
      <w:proofErr w:type="gramEnd"/>
      <w:r w:rsidR="0097555A" w:rsidRPr="00DA288B">
        <w:t xml:space="preserve"> (Národní institut pro integraci osob s omezenou schopností pohybu a orientace, dále je</w:t>
      </w:r>
      <w:r w:rsidR="00A066CB" w:rsidRPr="00DA288B">
        <w:t>n</w:t>
      </w:r>
      <w:r w:rsidR="0097555A" w:rsidRPr="00DA288B">
        <w:t xml:space="preserve"> "NIPI")</w:t>
      </w:r>
      <w:r w:rsidR="007A5BB1" w:rsidRPr="00DA288B">
        <w:t xml:space="preserve"> ve smyslu platné </w:t>
      </w:r>
      <w:r w:rsidR="009E13D7" w:rsidRPr="00DA288B">
        <w:t xml:space="preserve">a účinné </w:t>
      </w:r>
      <w:r w:rsidR="007A5BB1" w:rsidRPr="00DA288B">
        <w:t>legislativy, kterou se stanoví obecné technické požadavky zabezpečující bezbariérové užívání staveb (</w:t>
      </w:r>
      <w:r w:rsidR="00D6309F" w:rsidRPr="00DA288B">
        <w:t>vyhlášk</w:t>
      </w:r>
      <w:r w:rsidR="007E03E4" w:rsidRPr="00DA288B">
        <w:t>a </w:t>
      </w:r>
      <w:r w:rsidR="00D6309F" w:rsidRPr="00DA288B">
        <w:t>M</w:t>
      </w:r>
      <w:r w:rsidR="00755DB3" w:rsidRPr="00DA288B">
        <w:t>inisterstva pro místní rozvoj</w:t>
      </w:r>
      <w:r w:rsidR="00D6309F" w:rsidRPr="00DA288B">
        <w:t xml:space="preserve"> č. 398/2009 Sb</w:t>
      </w:r>
      <w:r w:rsidR="00755DB3" w:rsidRPr="00DA288B">
        <w:t>.</w:t>
      </w:r>
      <w:r w:rsidR="00D6309F" w:rsidRPr="00DA288B">
        <w:t>),</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3C041607" w:rsidR="00D72F5A" w:rsidRPr="00D72F5A" w:rsidRDefault="0061609D" w:rsidP="00D72F5A">
      <w:pPr>
        <w:pStyle w:val="Zkladntext"/>
        <w:numPr>
          <w:ilvl w:val="1"/>
          <w:numId w:val="21"/>
        </w:numPr>
        <w:jc w:val="both"/>
        <w:rPr>
          <w:rFonts w:cs="Times New Roman"/>
          <w:lang w:val="cs-CZ"/>
        </w:rPr>
      </w:pPr>
      <w:r>
        <w:rPr>
          <w:rFonts w:cs="Times New Roman"/>
          <w:lang w:val="cs-CZ"/>
        </w:rPr>
        <w:t>Účelem díla</w:t>
      </w:r>
      <w:r w:rsidR="00054E1B">
        <w:rPr>
          <w:rFonts w:cs="Times New Roman"/>
          <w:lang w:val="cs-CZ"/>
        </w:rPr>
        <w:t xml:space="preserve"> je </w:t>
      </w:r>
      <w:r w:rsidR="006939AE">
        <w:rPr>
          <w:rFonts w:cs="Times New Roman"/>
          <w:lang w:val="cs-CZ"/>
        </w:rPr>
        <w:t>zajištění obnovy plynulého a bezpečného provozu na komunikaci a oprava propustku, který se nachází ve špatném stavu</w:t>
      </w:r>
      <w:r w:rsidR="00226CAF">
        <w:rPr>
          <w:rFonts w:cs="Times New Roman"/>
          <w:lang w:val="cs-CZ"/>
        </w:rPr>
        <w:t>.</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lastRenderedPageBreak/>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43A19F51" w:rsidR="00EC7EE2" w:rsidRPr="00DA288B" w:rsidRDefault="005005A8" w:rsidP="0074400E">
      <w:pPr>
        <w:pStyle w:val="Tabellentext"/>
        <w:numPr>
          <w:ilvl w:val="1"/>
          <w:numId w:val="31"/>
        </w:numPr>
        <w:spacing w:before="0" w:after="120"/>
        <w:ind w:left="709" w:hanging="709"/>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Zhotovitel se zavazuje realizovat dílo, resp. jeho jednotlivé části v následujících</w:t>
      </w:r>
      <w:r w:rsidR="0074400E">
        <w:rPr>
          <w:rFonts w:ascii="Times New Roman" w:eastAsia="Calibri" w:hAnsi="Times New Roman"/>
          <w:bCs/>
          <w:sz w:val="24"/>
          <w:lang w:val="cs-CZ" w:eastAsia="en-US"/>
        </w:rPr>
        <w:t xml:space="preserve"> </w:t>
      </w:r>
      <w:r w:rsidRPr="00DA288B">
        <w:rPr>
          <w:rFonts w:ascii="Times New Roman" w:eastAsia="Calibri" w:hAnsi="Times New Roman"/>
          <w:bCs/>
          <w:sz w:val="24"/>
          <w:lang w:val="cs-CZ" w:eastAsia="en-US"/>
        </w:rPr>
        <w:t xml:space="preserve">termínech: </w:t>
      </w:r>
    </w:p>
    <w:p w14:paraId="6EE8C589" w14:textId="122BEF19" w:rsidR="00EC7EE2" w:rsidRPr="00DA288B" w:rsidRDefault="005005A8" w:rsidP="0074400E">
      <w:pPr>
        <w:pStyle w:val="Tabellentext"/>
        <w:numPr>
          <w:ilvl w:val="2"/>
          <w:numId w:val="31"/>
        </w:numPr>
        <w:spacing w:before="0" w:after="120"/>
        <w:ind w:left="993"/>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7C00C1">
        <w:rPr>
          <w:rFonts w:ascii="Times New Roman" w:eastAsia="Calibri" w:hAnsi="Times New Roman"/>
          <w:b/>
          <w:sz w:val="24"/>
          <w:lang w:val="cs-CZ" w:eastAsia="en-US"/>
        </w:rPr>
        <w:t>4</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36A3285B" w:rsidR="00EC7EE2" w:rsidRPr="00DA288B" w:rsidRDefault="002F3511" w:rsidP="0074400E">
      <w:pPr>
        <w:pStyle w:val="Tabellentext"/>
        <w:numPr>
          <w:ilvl w:val="2"/>
          <w:numId w:val="31"/>
        </w:numPr>
        <w:spacing w:before="0" w:after="120"/>
        <w:ind w:left="993"/>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500A3B" w:rsidRPr="00DA288B">
        <w:rPr>
          <w:rFonts w:ascii="Times New Roman" w:hAnsi="Times New Roman"/>
          <w:b/>
          <w:sz w:val="24"/>
          <w:lang w:val="cs-CZ"/>
        </w:rPr>
        <w:t>písemné 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172EF0C6" w:rsidR="00EC7EE2" w:rsidRPr="00DA288B" w:rsidRDefault="002F3511" w:rsidP="0074400E">
      <w:pPr>
        <w:pStyle w:val="Tabellentext"/>
        <w:numPr>
          <w:ilvl w:val="2"/>
          <w:numId w:val="31"/>
        </w:numPr>
        <w:spacing w:before="0" w:after="120"/>
        <w:ind w:left="993"/>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60AA3725" w:rsidR="00EC7EE2" w:rsidRPr="00787600" w:rsidRDefault="002F3511" w:rsidP="0074400E">
      <w:pPr>
        <w:pStyle w:val="Tabellentext"/>
        <w:numPr>
          <w:ilvl w:val="2"/>
          <w:numId w:val="31"/>
        </w:numPr>
        <w:spacing w:before="0" w:after="120"/>
        <w:ind w:left="993"/>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8D38E5" w:rsidRPr="00787600">
        <w:rPr>
          <w:rFonts w:ascii="Times New Roman" w:hAnsi="Times New Roman"/>
          <w:bCs/>
          <w:sz w:val="24"/>
          <w:lang w:val="cs-CZ"/>
        </w:rPr>
        <w:t xml:space="preserve"> </w:t>
      </w:r>
      <w:r w:rsidR="008D38E5" w:rsidRPr="00787600">
        <w:rPr>
          <w:rFonts w:ascii="Times New Roman" w:hAnsi="Times New Roman"/>
          <w:b/>
          <w:bCs/>
          <w:sz w:val="24"/>
          <w:lang w:val="cs-CZ"/>
        </w:rPr>
        <w:t>včetně realizace krajinných úprav</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do 1</w:t>
      </w:r>
      <w:r w:rsidR="00054E1B">
        <w:rPr>
          <w:b/>
          <w:sz w:val="24"/>
          <w:lang w:val="cs-CZ"/>
        </w:rPr>
        <w:t>2</w:t>
      </w:r>
      <w:r w:rsidR="00E520A4" w:rsidRPr="00787600">
        <w:rPr>
          <w:b/>
          <w:sz w:val="24"/>
          <w:lang w:val="cs-CZ"/>
        </w:rPr>
        <w:t xml:space="preserve"> týdnů</w:t>
      </w:r>
      <w:r w:rsidR="00E520A4" w:rsidRPr="00787600">
        <w:rPr>
          <w:sz w:val="24"/>
          <w:lang w:val="cs-CZ"/>
        </w:rPr>
        <w:t xml:space="preserve"> </w:t>
      </w:r>
      <w:r w:rsidR="00E520A4" w:rsidRPr="00787600">
        <w:rPr>
          <w:b/>
          <w:sz w:val="24"/>
          <w:lang w:val="cs-CZ"/>
        </w:rPr>
        <w:t xml:space="preserve">od předání a převzetí </w:t>
      </w:r>
      <w:r w:rsidR="00331F7A" w:rsidRPr="00787600">
        <w:rPr>
          <w:b/>
          <w:sz w:val="24"/>
          <w:lang w:val="cs-CZ"/>
        </w:rPr>
        <w:t>staveniště.</w:t>
      </w:r>
      <w:r w:rsidR="00331F7A" w:rsidRPr="00787600">
        <w:rPr>
          <w:sz w:val="24"/>
          <w:lang w:val="cs-CZ"/>
        </w:rPr>
        <w:t xml:space="preserve"> </w:t>
      </w:r>
    </w:p>
    <w:p w14:paraId="70C3338D" w14:textId="783B5108" w:rsidR="00DF0DC9" w:rsidRPr="00486FAF" w:rsidRDefault="002F3511" w:rsidP="0074400E">
      <w:pPr>
        <w:pStyle w:val="Tabellentext"/>
        <w:numPr>
          <w:ilvl w:val="2"/>
          <w:numId w:val="31"/>
        </w:numPr>
        <w:spacing w:before="0" w:after="120"/>
        <w:ind w:left="993"/>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27E77BF4" w14:textId="4C4CA559"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písemné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253AE34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3403E62A"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 xml:space="preserve">Postup stavebních prací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jednotlivých stavebních 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lastRenderedPageBreak/>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10723163" w:rsidR="00DA288B" w:rsidRPr="00226CAF" w:rsidRDefault="00292D2D" w:rsidP="00DA288B">
      <w:pPr>
        <w:pStyle w:val="Zkladntext2"/>
        <w:tabs>
          <w:tab w:val="left" w:pos="993"/>
        </w:tabs>
        <w:spacing w:after="120"/>
        <w:ind w:left="567" w:hanging="567"/>
        <w:rPr>
          <w:rFonts w:ascii="Times New Roman" w:hAnsi="Times New Roman" w:cs="Times New Roman"/>
          <w:color w:val="FFFFFF" w:themeColor="background1"/>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Pr="00855205">
        <w:rPr>
          <w:rFonts w:ascii="Times New Roman" w:hAnsi="Times New Roman" w:cs="Times New Roman"/>
          <w:color w:val="FFFFFF" w:themeColor="background1"/>
          <w:sz w:val="24"/>
          <w:szCs w:val="24"/>
          <w:shd w:val="clear" w:color="auto" w:fill="FFFFFF"/>
        </w:rPr>
        <w:t>.</w:t>
      </w:r>
      <w:r w:rsidR="00F9739E" w:rsidRPr="00855205">
        <w:rPr>
          <w:rFonts w:ascii="Times New Roman" w:hAnsi="Times New Roman" w:cs="Times New Roman"/>
          <w:color w:val="FFFFFF" w:themeColor="background1"/>
          <w:sz w:val="24"/>
          <w:szCs w:val="24"/>
          <w:shd w:val="clear" w:color="auto" w:fill="FFFFFF"/>
          <w:lang w:val="cs-CZ"/>
        </w:rPr>
        <w:t xml:space="preserve"> </w:t>
      </w:r>
      <w:r w:rsidR="00F9739E" w:rsidRPr="00452EC3">
        <w:rPr>
          <w:rFonts w:ascii="Times New Roman" w:hAnsi="Times New Roman" w:cs="Times New Roman"/>
          <w:color w:val="FFFFFF" w:themeColor="background1"/>
          <w:sz w:val="24"/>
          <w:szCs w:val="24"/>
          <w:shd w:val="clear" w:color="auto" w:fill="FFFFFF"/>
          <w:lang w:val="cs-CZ"/>
        </w:rPr>
        <w:t>4.1 smlouvy.</w:t>
      </w:r>
    </w:p>
    <w:p w14:paraId="5B5032C3" w14:textId="0C56D1D8" w:rsidR="0045716A" w:rsidRPr="00DA288B" w:rsidRDefault="00DA288B" w:rsidP="00DA288B">
      <w:pPr>
        <w:pStyle w:val="Zkladntext2"/>
        <w:tabs>
          <w:tab w:val="left" w:pos="993"/>
        </w:tabs>
        <w:spacing w:after="120"/>
        <w:ind w:left="567" w:hanging="567"/>
        <w:rPr>
          <w:rFonts w:ascii="Times New Roman" w:hAnsi="Times New Roman" w:cs="Times New Roman"/>
          <w:color w:val="auto"/>
          <w:sz w:val="24"/>
          <w:szCs w:val="24"/>
          <w:lang w:val="cs-CZ"/>
        </w:rPr>
      </w:pPr>
      <w:proofErr w:type="gramStart"/>
      <w:r w:rsidRPr="00DA288B">
        <w:rPr>
          <w:rFonts w:ascii="Times New Roman" w:hAnsi="Times New Roman" w:cs="Times New Roman"/>
          <w:color w:val="000000"/>
          <w:sz w:val="24"/>
          <w:szCs w:val="24"/>
          <w:shd w:val="clear" w:color="auto" w:fill="FFFFFF"/>
          <w:lang w:val="cs-CZ"/>
        </w:rPr>
        <w:t>4.9</w:t>
      </w:r>
      <w:proofErr w:type="gramEnd"/>
      <w:r w:rsidRPr="00DA288B">
        <w:rPr>
          <w:rFonts w:ascii="Times New Roman" w:hAnsi="Times New Roman" w:cs="Times New Roman"/>
          <w:color w:val="000000"/>
          <w:sz w:val="24"/>
          <w:szCs w:val="24"/>
          <w:shd w:val="clear" w:color="auto" w:fill="FFFFFF"/>
          <w:lang w:val="cs-CZ"/>
        </w:rPr>
        <w:t>.</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34E482AF"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zjednodušeného podlimitního řízení</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lastRenderedPageBreak/>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054E1B">
      <w:pPr>
        <w:pStyle w:val="Pokraovnseznamu"/>
        <w:tabs>
          <w:tab w:val="left" w:pos="567"/>
          <w:tab w:val="left" w:pos="6379"/>
          <w:tab w:val="left" w:pos="8647"/>
        </w:tabs>
        <w:spacing w:after="0"/>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4A0042A9"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 xml:space="preserve">0 % celkové ceny. Částku odpovídající </w:t>
      </w:r>
      <w:r w:rsidR="00F70F2F" w:rsidRPr="00DA288B">
        <w:rPr>
          <w:iCs/>
        </w:rPr>
        <w:t>2</w:t>
      </w:r>
      <w:r w:rsidR="002A170B" w:rsidRPr="00DA288B">
        <w:rPr>
          <w:iCs/>
        </w:rPr>
        <w:t>0</w:t>
      </w:r>
      <w:r w:rsidR="00C039A1">
        <w:rPr>
          <w:iCs/>
        </w:rPr>
        <w:t xml:space="preserve"> </w:t>
      </w:r>
      <w:r w:rsidR="002A170B" w:rsidRPr="00DA288B">
        <w:rPr>
          <w:iCs/>
        </w:rPr>
        <w:t xml:space="preserve">% z celkové ceny </w:t>
      </w:r>
      <w:r w:rsidR="00C35FC1">
        <w:rPr>
          <w:iCs/>
        </w:rPr>
        <w:t xml:space="preserve"> </w:t>
      </w:r>
      <w:r w:rsidR="002A170B" w:rsidRPr="00DA288B">
        <w:rPr>
          <w:iCs/>
        </w:rPr>
        <w:t>může zhotovitel fakturovat až po souběžném splnění následujících podmínek:</w:t>
      </w:r>
      <w:r w:rsidR="002A170B" w:rsidRPr="00DA288B">
        <w:rPr>
          <w:iCs/>
        </w:rPr>
        <w:tab/>
      </w:r>
    </w:p>
    <w:p w14:paraId="6309D33C" w14:textId="77777777"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oboustranném 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20B29BB0"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w:t>
      </w:r>
      <w:r w:rsidRPr="00DA288B">
        <w:lastRenderedPageBreak/>
        <w:t xml:space="preserve">projektu </w:t>
      </w:r>
      <w:r w:rsidR="00207826" w:rsidRPr="00DA288B">
        <w:rPr>
          <w:b/>
        </w:rPr>
        <w:t>„</w:t>
      </w:r>
      <w:r w:rsidR="004B47BC">
        <w:rPr>
          <w:rFonts w:eastAsia="Calibri"/>
          <w:b/>
          <w:bCs/>
        </w:rPr>
        <w:t>Souvislá údržba místní komunikace v ul. Karlovská a oprava propustku</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2F4A5205" w:rsidR="00DB00E3"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5139599D" w14:textId="77777777" w:rsidR="00C039A1" w:rsidRPr="00DA288B" w:rsidRDefault="00C039A1"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Pr="00DA288B"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ermEnd w:id="1883591504"/>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 xml:space="preserve">vydaných rozhodnutí, nebo nedodržení předepsaných nebo doporučených pracovních či </w:t>
      </w:r>
      <w:r w:rsidRPr="00DA288B">
        <w:rPr>
          <w:rFonts w:cs="Times New Roman"/>
        </w:rPr>
        <w:lastRenderedPageBreak/>
        <w:t>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paré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napojovací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 xml:space="preserve">se spotřebou </w:t>
      </w:r>
      <w:r w:rsidR="006436FE" w:rsidRPr="00DA288B">
        <w:rPr>
          <w:szCs w:val="24"/>
        </w:rPr>
        <w:lastRenderedPageBreak/>
        <w:t>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539508D6"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vyplývá</w:t>
      </w:r>
      <w:r w:rsidR="004915C6">
        <w:rPr>
          <w:szCs w:val="24"/>
        </w:rPr>
        <w:t xml:space="preserve"> ze zákona č. 283/2021 Sb., stavební zákon</w:t>
      </w:r>
      <w:r w:rsidR="00C039A1">
        <w:rPr>
          <w:szCs w:val="24"/>
        </w:rPr>
        <w:t>, ve znění pozdějších předpisů</w:t>
      </w:r>
      <w:r w:rsidR="004915C6">
        <w:rPr>
          <w:szCs w:val="24"/>
        </w:rPr>
        <w:t xml:space="preserve"> a souvisejících právních předpisů.</w:t>
      </w:r>
      <w:r w:rsidR="002C6B10">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6BCD28E9" w:rsidR="00355A7C" w:rsidRPr="00DA288B" w:rsidRDefault="008700E7" w:rsidP="00FA788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473F6B">
        <w:rPr>
          <w:rFonts w:cs="Times New Roman"/>
          <w:lang w:val="cs-CZ"/>
        </w:rPr>
        <w:t>stavebníka</w:t>
      </w:r>
      <w:r w:rsidR="00473F6B" w:rsidRPr="00DA288B">
        <w:rPr>
          <w:rFonts w:cs="Times New Roman"/>
        </w:rPr>
        <w:t xml:space="preserve"> </w:t>
      </w:r>
      <w:r w:rsidRPr="00DA288B">
        <w:rPr>
          <w:rFonts w:cs="Times New Roman"/>
        </w:rPr>
        <w:t>(</w:t>
      </w:r>
      <w:r w:rsidR="00473F6B" w:rsidRPr="00DA288B">
        <w:rPr>
          <w:rFonts w:cs="Times New Roman"/>
        </w:rPr>
        <w:t>TD</w:t>
      </w:r>
      <w:r w:rsidR="00473F6B">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lastRenderedPageBreak/>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495/2001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39F3FBEE" w:rsidR="00B07194" w:rsidRPr="00DA288B" w:rsidRDefault="00B07194" w:rsidP="00DA288B">
      <w:pPr>
        <w:tabs>
          <w:tab w:val="left" w:pos="567"/>
        </w:tabs>
        <w:spacing w:before="0" w:after="120"/>
        <w:ind w:left="567"/>
        <w:jc w:val="both"/>
        <w:rPr>
          <w:szCs w:val="24"/>
        </w:rPr>
      </w:pPr>
      <w:r w:rsidRPr="00DA288B">
        <w:rPr>
          <w:szCs w:val="24"/>
        </w:rPr>
        <w:t>Před zahájením prací předloží podklady pro zpracování plánu BOZP dle zákona č. 309/2006 Sb., o zajištění dalších podmínek BOZP a nařízení vlády 591/2006 Sb., o bližších minimálních požadavcích na BOZP</w:t>
      </w:r>
      <w:r w:rsidR="00C039A1">
        <w:rPr>
          <w:szCs w:val="24"/>
        </w:rPr>
        <w:t>.</w:t>
      </w:r>
    </w:p>
    <w:p w14:paraId="543B73A6" w14:textId="77777777" w:rsidR="006436FE" w:rsidRPr="00DA288B" w:rsidRDefault="006436FE" w:rsidP="00054E1B">
      <w:pPr>
        <w:tabs>
          <w:tab w:val="left" w:pos="567"/>
        </w:tabs>
        <w:spacing w:before="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jím při</w:t>
      </w:r>
      <w:r w:rsidRPr="00DA288B">
        <w:rPr>
          <w:rFonts w:cs="Times New Roman"/>
        </w:rPr>
        <w:t>z</w:t>
      </w:r>
      <w:r w:rsidR="00EE5E97" w:rsidRPr="00DA288B">
        <w:rPr>
          <w:rFonts w:cs="Times New Roman"/>
          <w:lang w:val="cs-CZ"/>
        </w:rPr>
        <w:t>v</w:t>
      </w:r>
      <w:proofErr w:type="spellStart"/>
      <w:r w:rsidR="00EE5E97" w:rsidRPr="00DA288B">
        <w:rPr>
          <w:rFonts w:cs="Times New Roman"/>
        </w:rPr>
        <w:t>aných</w:t>
      </w:r>
      <w:proofErr w:type="spellEnd"/>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lastRenderedPageBreak/>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4111B8AF"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4B47BC">
        <w:rPr>
          <w:rFonts w:ascii="Times New Roman" w:hAnsi="Times New Roman"/>
          <w:b/>
          <w:bCs/>
          <w:sz w:val="24"/>
        </w:rPr>
        <w:t>11</w:t>
      </w:r>
      <w:r w:rsidR="00387212" w:rsidRPr="00DA288B">
        <w:rPr>
          <w:rFonts w:ascii="Times New Roman" w:hAnsi="Times New Roman"/>
          <w:b/>
          <w:bCs/>
          <w:sz w:val="24"/>
        </w:rPr>
        <w:t>.</w:t>
      </w:r>
      <w:r w:rsidR="004B47BC">
        <w:rPr>
          <w:rFonts w:ascii="Times New Roman" w:hAnsi="Times New Roman"/>
          <w:b/>
          <w:bCs/>
          <w:sz w:val="24"/>
        </w:rPr>
        <w:t>25</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777777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proofErr w:type="gramStart"/>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roofErr w:type="gramEnd"/>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w:t>
      </w:r>
      <w:r w:rsidRPr="00DA288B">
        <w:rPr>
          <w:rFonts w:cs="Times New Roman"/>
        </w:rPr>
        <w:lastRenderedPageBreak/>
        <w:t xml:space="preserve">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w:t>
      </w:r>
      <w:r w:rsidR="00A12B88" w:rsidRPr="00DA288B">
        <w:rPr>
          <w:rFonts w:ascii="Times New Roman" w:hAnsi="Times New Roman" w:cs="Times New Roman"/>
          <w:color w:val="auto"/>
          <w:sz w:val="24"/>
          <w:szCs w:val="24"/>
          <w:lang w:val="cs-CZ"/>
        </w:rPr>
        <w:lastRenderedPageBreak/>
        <w:t xml:space="preserve">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05D86815" w14:textId="3F7B5D84" w:rsidR="00054E1B" w:rsidRDefault="002B0C96" w:rsidP="00054E1B">
      <w:pPr>
        <w:pStyle w:val="Zkladntext2"/>
        <w:tabs>
          <w:tab w:val="left" w:pos="567"/>
        </w:tabs>
        <w:rPr>
          <w:rStyle w:val="Hypertextovodkaz"/>
          <w:rFonts w:ascii="Times New Roman" w:hAnsi="Times New Roman" w:cs="Times New Roman"/>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r w:rsidR="00054E1B">
        <w:rPr>
          <w:rStyle w:val="Hypertextovodkaz"/>
          <w:rFonts w:ascii="Times New Roman" w:hAnsi="Times New Roman" w:cs="Times New Roman"/>
          <w:sz w:val="24"/>
          <w:szCs w:val="24"/>
          <w:lang w:val="cs-CZ"/>
        </w:rPr>
        <w:t xml:space="preserve"> </w:t>
      </w:r>
    </w:p>
    <w:p w14:paraId="7ABF5A3B" w14:textId="3F154353" w:rsidR="00054E1B" w:rsidRPr="00054E1B" w:rsidRDefault="00054E1B" w:rsidP="00DA288B">
      <w:pPr>
        <w:pStyle w:val="Zkladntext2"/>
        <w:tabs>
          <w:tab w:val="left" w:pos="567"/>
        </w:tabs>
        <w:spacing w:after="120"/>
        <w:rPr>
          <w:rFonts w:ascii="Times New Roman" w:hAnsi="Times New Roman" w:cs="Times New Roman"/>
          <w:color w:val="0000FF"/>
          <w:sz w:val="24"/>
          <w:szCs w:val="24"/>
          <w:u w:val="single"/>
          <w:lang w:val="cs-CZ"/>
        </w:rPr>
      </w:pPr>
      <w:r w:rsidRPr="00054E1B">
        <w:rPr>
          <w:rStyle w:val="Hypertextovodkaz"/>
          <w:rFonts w:ascii="Times New Roman" w:hAnsi="Times New Roman" w:cs="Times New Roman"/>
          <w:sz w:val="24"/>
          <w:szCs w:val="24"/>
          <w:u w:val="none"/>
          <w:lang w:val="cs-CZ"/>
        </w:rPr>
        <w:t xml:space="preserve">                                                      </w:t>
      </w:r>
      <w:r w:rsidRPr="00054E1B">
        <w:rPr>
          <w:rStyle w:val="Hypertextovodkaz"/>
          <w:rFonts w:ascii="Times New Roman" w:hAnsi="Times New Roman" w:cs="Times New Roman"/>
          <w:sz w:val="24"/>
          <w:szCs w:val="24"/>
          <w:lang w:val="cs-CZ"/>
        </w:rPr>
        <w:t>hackelova.karla@magistrat.liberec.cz</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w:t>
      </w:r>
      <w:r w:rsidR="006436FE" w:rsidRPr="00DA288B">
        <w:rPr>
          <w:szCs w:val="24"/>
        </w:rPr>
        <w:lastRenderedPageBreak/>
        <w:t xml:space="preserve">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dále (</w:t>
      </w:r>
      <w:proofErr w:type="spellStart"/>
      <w:r w:rsidR="006436FE" w:rsidRPr="00DA288B">
        <w:rPr>
          <w:szCs w:val="24"/>
        </w:rPr>
        <w:t>ii</w:t>
      </w:r>
      <w:proofErr w:type="spellEnd"/>
      <w:r w:rsidR="006436FE" w:rsidRPr="00DA288B">
        <w:rPr>
          <w:szCs w:val="24"/>
        </w:rPr>
        <w:t xml:space="preserve">)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w:t>
      </w:r>
      <w:r w:rsidR="00E96F3A" w:rsidRPr="00DA288B">
        <w:rPr>
          <w:szCs w:val="24"/>
        </w:rPr>
        <w:lastRenderedPageBreak/>
        <w:t xml:space="preserve">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07B5967A"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písemné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C951EF">
      <w:pPr>
        <w:pStyle w:val="nadpis2odrka"/>
        <w:spacing w:before="0"/>
        <w:ind w:left="-426"/>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w:t>
      </w:r>
      <w:proofErr w:type="spellStart"/>
      <w:r w:rsidRPr="00DA288B">
        <w:rPr>
          <w:szCs w:val="24"/>
        </w:rPr>
        <w:t>ii</w:t>
      </w:r>
      <w:proofErr w:type="spellEnd"/>
      <w:r w:rsidRPr="00DA288B">
        <w:rPr>
          <w:szCs w:val="24"/>
        </w:rPr>
        <w:t>)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lastRenderedPageBreak/>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77777777"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A73CD2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w:t>
      </w:r>
      <w:r w:rsidR="00C039A1">
        <w:rPr>
          <w:rFonts w:cs="Times New Roman"/>
          <w:b/>
          <w:lang w:val="cs-CZ"/>
        </w:rPr>
        <w:t>,</w:t>
      </w:r>
      <w:r w:rsidR="00525EB8" w:rsidRPr="00DA288B">
        <w:rPr>
          <w:rFonts w:cs="Times New Roman"/>
          <w:b/>
          <w:lang w:val="cs-CZ"/>
        </w:rPr>
        <w:t>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w:t>
      </w:r>
      <w:r w:rsidR="00397249" w:rsidRPr="00DA288B">
        <w:rPr>
          <w:rFonts w:cs="Times New Roman"/>
          <w:lang w:val="cs-CZ"/>
        </w:rPr>
        <w:lastRenderedPageBreak/>
        <w:t xml:space="preserve">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705E86" w:rsidRPr="00226CAF">
        <w:rPr>
          <w:rFonts w:cs="Times New Roman"/>
          <w:b/>
          <w:bCs/>
          <w:lang w:val="cs-CZ"/>
        </w:rPr>
        <w:t>10</w:t>
      </w:r>
      <w:r w:rsidR="001926E1" w:rsidRPr="00226CAF">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2255565B"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lastRenderedPageBreak/>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03683B04"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termínem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xml:space="preserve">, o úpadku a způsobech jeho řešení </w:t>
      </w:r>
      <w:r w:rsidR="00307D51" w:rsidRPr="00DA288B">
        <w:rPr>
          <w:rFonts w:cs="Times New Roman"/>
          <w:iCs/>
          <w:lang w:val="cs-CZ"/>
        </w:rPr>
        <w:lastRenderedPageBreak/>
        <w:t>(insolvenční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 xml:space="preserve">finančních prostředků musí být předem schváleno minimálně usnesením Rady </w:t>
      </w:r>
      <w:r w:rsidRPr="00DA288B">
        <w:rPr>
          <w:rFonts w:cs="Times New Roman"/>
          <w:iCs/>
        </w:rPr>
        <w:lastRenderedPageBreak/>
        <w:t>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312B9E83"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r w:rsidR="00E537AD" w:rsidRPr="00DA288B">
        <w:rPr>
          <w:rFonts w:cs="Times New Roman"/>
          <w:lang w:val="cs-CZ"/>
        </w:rPr>
        <w:t xml:space="preserve">nerealizaci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 xml:space="preserve">jakékoliv spory stran budou rozhodovány před </w:t>
      </w:r>
      <w:r w:rsidRPr="00DA288B">
        <w:rPr>
          <w:rFonts w:cs="Times New Roman"/>
        </w:rPr>
        <w:lastRenderedPageBreak/>
        <w:t>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52A7C81D" w14:textId="64D5F489"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w:t>
      </w:r>
      <w:proofErr w:type="gramStart"/>
      <w:r w:rsidRPr="00DA288B">
        <w:rPr>
          <w:rFonts w:ascii="Times New Roman" w:hAnsi="Times New Roman" w:cs="Times New Roman"/>
        </w:rPr>
        <w:t>….ze</w:t>
      </w:r>
      <w:proofErr w:type="gramEnd"/>
      <w:r w:rsidRPr="00DA288B">
        <w:rPr>
          <w:rFonts w:ascii="Times New Roman" w:hAnsi="Times New Roman" w:cs="Times New Roman"/>
        </w:rPr>
        <w:t xml:space="preserve"> dne …………..</w:t>
      </w:r>
    </w:p>
    <w:p w14:paraId="032041A6" w14:textId="165E4834"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25E8CFD3"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32BAE01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29ECEF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4A4AEAEB" w14:textId="21FC97D3" w:rsidR="00B568FB" w:rsidRPr="00DA288B" w:rsidRDefault="00B568FB" w:rsidP="00932D8F">
      <w:pPr>
        <w:pStyle w:val="Seznam"/>
        <w:tabs>
          <w:tab w:val="left" w:pos="7560"/>
        </w:tabs>
        <w:spacing w:after="0"/>
        <w:jc w:val="both"/>
        <w:rPr>
          <w:rFonts w:cs="Times New Roman"/>
        </w:rPr>
      </w:pPr>
      <w:bookmarkStart w:id="0" w:name="_GoBack"/>
      <w:bookmarkEnd w:id="0"/>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3FD772F4" w14:textId="77777777" w:rsidR="009F5855" w:rsidRDefault="009F5855" w:rsidP="006436FE">
      <w:pPr>
        <w:tabs>
          <w:tab w:val="left" w:pos="0"/>
        </w:tabs>
        <w:jc w:val="both"/>
        <w:rPr>
          <w:szCs w:val="24"/>
        </w:rPr>
      </w:pPr>
    </w:p>
    <w:p w14:paraId="558B6545" w14:textId="65811588"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9417F0">
        <w:tc>
          <w:tcPr>
            <w:tcW w:w="4536" w:type="dxa"/>
          </w:tcPr>
          <w:p w14:paraId="54F2B99B" w14:textId="6A581300" w:rsidR="00CD4745" w:rsidRPr="00DA288B" w:rsidRDefault="00CD4745" w:rsidP="002B0C96">
            <w:pPr>
              <w:spacing w:line="360" w:lineRule="auto"/>
              <w:rPr>
                <w:szCs w:val="24"/>
              </w:rPr>
            </w:pPr>
            <w:r w:rsidRPr="00DA288B">
              <w:rPr>
                <w:szCs w:val="24"/>
              </w:rPr>
              <w:lastRenderedPageBreak/>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9417F0">
        <w:tc>
          <w:tcPr>
            <w:tcW w:w="4536" w:type="dxa"/>
          </w:tcPr>
          <w:p w14:paraId="2D4DF96E" w14:textId="77777777" w:rsidR="00CD4745" w:rsidRPr="00DA288B" w:rsidRDefault="00CD4745" w:rsidP="00705E86">
            <w:pPr>
              <w:spacing w:line="1440" w:lineRule="auto"/>
              <w:rPr>
                <w:szCs w:val="24"/>
              </w:rPr>
            </w:pPr>
          </w:p>
        </w:tc>
        <w:tc>
          <w:tcPr>
            <w:tcW w:w="4536"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9417F0">
        <w:tc>
          <w:tcPr>
            <w:tcW w:w="4536" w:type="dxa"/>
          </w:tcPr>
          <w:p w14:paraId="55D1B25D" w14:textId="77777777" w:rsidR="00CD4745" w:rsidRPr="00DA288B" w:rsidRDefault="00CD4745" w:rsidP="002B0C96">
            <w:pPr>
              <w:spacing w:line="360" w:lineRule="auto"/>
              <w:rPr>
                <w:szCs w:val="24"/>
              </w:rPr>
            </w:pPr>
            <w:r w:rsidRPr="00DA288B">
              <w:rPr>
                <w:szCs w:val="24"/>
              </w:rPr>
              <w:t>………………………………………</w:t>
            </w:r>
          </w:p>
        </w:tc>
        <w:tc>
          <w:tcPr>
            <w:tcW w:w="4536"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9417F0">
        <w:tc>
          <w:tcPr>
            <w:tcW w:w="4536"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536"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9417F0">
        <w:tc>
          <w:tcPr>
            <w:tcW w:w="4536" w:type="dxa"/>
          </w:tcPr>
          <w:p w14:paraId="1CCC7425" w14:textId="7DAFABB0"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6A906B15" w14:textId="34B06B08" w:rsidR="00CD4745" w:rsidRPr="00DA288B" w:rsidRDefault="0006707A" w:rsidP="005F1470">
            <w:pPr>
              <w:spacing w:before="0"/>
              <w:rPr>
                <w:szCs w:val="24"/>
              </w:rPr>
            </w:pPr>
            <w:r w:rsidRPr="00DA288B">
              <w:rPr>
                <w:szCs w:val="24"/>
              </w:rPr>
              <w:t xml:space="preserve">                 primátor města</w:t>
            </w:r>
          </w:p>
        </w:tc>
        <w:tc>
          <w:tcPr>
            <w:tcW w:w="4536"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9417F0">
        <w:trPr>
          <w:trHeight w:val="70"/>
        </w:trPr>
        <w:tc>
          <w:tcPr>
            <w:tcW w:w="4536" w:type="dxa"/>
          </w:tcPr>
          <w:p w14:paraId="255FC237" w14:textId="77777777" w:rsidR="002B0C96" w:rsidRPr="00DA288B" w:rsidRDefault="002B0C96" w:rsidP="002B0C96">
            <w:pPr>
              <w:rPr>
                <w:szCs w:val="24"/>
              </w:rPr>
            </w:pPr>
          </w:p>
        </w:tc>
        <w:tc>
          <w:tcPr>
            <w:tcW w:w="4536"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D54E" w14:textId="77777777" w:rsidR="004B0450" w:rsidRDefault="004B0450" w:rsidP="006436FE">
      <w:pPr>
        <w:spacing w:before="0"/>
      </w:pPr>
      <w:r>
        <w:separator/>
      </w:r>
    </w:p>
  </w:endnote>
  <w:endnote w:type="continuationSeparator" w:id="0">
    <w:p w14:paraId="5D6BD660" w14:textId="77777777" w:rsidR="004B0450" w:rsidRDefault="004B0450" w:rsidP="006436FE">
      <w:pPr>
        <w:spacing w:before="0"/>
      </w:pPr>
      <w:r>
        <w:continuationSeparator/>
      </w:r>
    </w:p>
  </w:endnote>
  <w:endnote w:type="continuationNotice" w:id="1">
    <w:p w14:paraId="225E5078" w14:textId="77777777" w:rsidR="004B0450" w:rsidRDefault="004B04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4B0450" w:rsidRDefault="004B04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4B0450" w:rsidRDefault="004B04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1503FF55" w:rsidR="004B0450" w:rsidRDefault="004B04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C7699">
      <w:rPr>
        <w:rStyle w:val="slostrnky"/>
        <w:noProof/>
      </w:rPr>
      <w:t>20</w:t>
    </w:r>
    <w:r>
      <w:rPr>
        <w:rStyle w:val="slostrnky"/>
      </w:rPr>
      <w:fldChar w:fldCharType="end"/>
    </w:r>
  </w:p>
  <w:p w14:paraId="741A1CA1" w14:textId="77777777" w:rsidR="004B0450" w:rsidRDefault="004B045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CA64" w14:textId="77777777" w:rsidR="004B0450" w:rsidRDefault="004B0450" w:rsidP="006436FE">
      <w:pPr>
        <w:spacing w:before="0"/>
      </w:pPr>
      <w:r>
        <w:separator/>
      </w:r>
    </w:p>
  </w:footnote>
  <w:footnote w:type="continuationSeparator" w:id="0">
    <w:p w14:paraId="66FE50BE" w14:textId="77777777" w:rsidR="004B0450" w:rsidRDefault="004B0450" w:rsidP="006436FE">
      <w:pPr>
        <w:spacing w:before="0"/>
      </w:pPr>
      <w:r>
        <w:continuationSeparator/>
      </w:r>
    </w:p>
  </w:footnote>
  <w:footnote w:type="continuationNotice" w:id="1">
    <w:p w14:paraId="6DD3DF05" w14:textId="77777777" w:rsidR="004B0450" w:rsidRDefault="004B04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02C6C42A"/>
    <w:lvl w:ilvl="0">
      <w:start w:val="1"/>
      <w:numFmt w:val="decimal"/>
      <w:pStyle w:val="nadpis2odrka"/>
      <w:lvlText w:val="%1."/>
      <w:lvlJc w:val="left"/>
      <w:pPr>
        <w:ind w:left="360" w:hanging="360"/>
      </w:pPr>
      <w:rPr>
        <w:rFonts w:hint="default"/>
        <w:sz w:val="24"/>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E84F49"/>
    <w:multiLevelType w:val="hybridMultilevel"/>
    <w:tmpl w:val="EB7EDE02"/>
    <w:lvl w:ilvl="0" w:tplc="04050001">
      <w:start w:val="1"/>
      <w:numFmt w:val="bullet"/>
      <w:lvlText w:val=""/>
      <w:lvlJc w:val="left"/>
      <w:pPr>
        <w:ind w:left="1287" w:hanging="360"/>
      </w:pPr>
      <w:rPr>
        <w:rFonts w:ascii="Symbol" w:hAnsi="Symbol"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13FEA"/>
    <w:multiLevelType w:val="hybridMultilevel"/>
    <w:tmpl w:val="6C186D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531D70"/>
    <w:multiLevelType w:val="hybridMultilevel"/>
    <w:tmpl w:val="000299EC"/>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4"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7"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9"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5"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0"/>
  </w:num>
  <w:num w:numId="2">
    <w:abstractNumId w:val="14"/>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5"/>
  </w:num>
  <w:num w:numId="6">
    <w:abstractNumId w:val="34"/>
  </w:num>
  <w:num w:numId="7">
    <w:abstractNumId w:val="24"/>
  </w:num>
  <w:num w:numId="8">
    <w:abstractNumId w:val="10"/>
  </w:num>
  <w:num w:numId="9">
    <w:abstractNumId w:val="21"/>
  </w:num>
  <w:num w:numId="10">
    <w:abstractNumId w:val="18"/>
  </w:num>
  <w:num w:numId="11">
    <w:abstractNumId w:val="15"/>
  </w:num>
  <w:num w:numId="12">
    <w:abstractNumId w:val="1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3"/>
  </w:num>
  <w:num w:numId="17">
    <w:abstractNumId w:val="19"/>
  </w:num>
  <w:num w:numId="18">
    <w:abstractNumId w:val="22"/>
  </w:num>
  <w:num w:numId="19">
    <w:abstractNumId w:val="8"/>
  </w:num>
  <w:num w:numId="20">
    <w:abstractNumId w:val="31"/>
  </w:num>
  <w:num w:numId="21">
    <w:abstractNumId w:val="6"/>
  </w:num>
  <w:num w:numId="22">
    <w:abstractNumId w:val="7"/>
  </w:num>
  <w:num w:numId="23">
    <w:abstractNumId w:val="32"/>
  </w:num>
  <w:num w:numId="24">
    <w:abstractNumId w:val="27"/>
  </w:num>
  <w:num w:numId="25">
    <w:abstractNumId w:val="26"/>
  </w:num>
  <w:num w:numId="26">
    <w:abstractNumId w:val="12"/>
  </w:num>
  <w:num w:numId="27">
    <w:abstractNumId w:val="28"/>
  </w:num>
  <w:num w:numId="28">
    <w:abstractNumId w:val="4"/>
  </w:num>
  <w:num w:numId="29">
    <w:abstractNumId w:val="3"/>
  </w:num>
  <w:num w:numId="30">
    <w:abstractNumId w:val="33"/>
  </w:num>
  <w:num w:numId="31">
    <w:abstractNumId w:val="6"/>
    <w:lvlOverride w:ilvl="0">
      <w:startOverride w:val="4"/>
    </w:lvlOverride>
    <w:lvlOverride w:ilvl="1">
      <w:startOverride w:val="1"/>
    </w:lvlOverride>
  </w:num>
  <w:num w:numId="32">
    <w:abstractNumId w:val="20"/>
  </w:num>
  <w:num w:numId="33">
    <w:abstractNumId w:val="9"/>
  </w:num>
  <w:num w:numId="34">
    <w:abstractNumId w:val="16"/>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54E1B"/>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6E93"/>
    <w:rsid w:val="000F1733"/>
    <w:rsid w:val="000F4995"/>
    <w:rsid w:val="000F77F9"/>
    <w:rsid w:val="0010152C"/>
    <w:rsid w:val="00101C09"/>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0073"/>
    <w:rsid w:val="00221911"/>
    <w:rsid w:val="0022415A"/>
    <w:rsid w:val="002243DA"/>
    <w:rsid w:val="00226CAF"/>
    <w:rsid w:val="0022768C"/>
    <w:rsid w:val="00231853"/>
    <w:rsid w:val="00232A1E"/>
    <w:rsid w:val="002344CF"/>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5A66"/>
    <w:rsid w:val="002566F6"/>
    <w:rsid w:val="002569FB"/>
    <w:rsid w:val="00261372"/>
    <w:rsid w:val="002662B4"/>
    <w:rsid w:val="00266CB1"/>
    <w:rsid w:val="0026744A"/>
    <w:rsid w:val="00267AA3"/>
    <w:rsid w:val="00273AB6"/>
    <w:rsid w:val="002745C9"/>
    <w:rsid w:val="0027795D"/>
    <w:rsid w:val="00277FCD"/>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135"/>
    <w:rsid w:val="002C0264"/>
    <w:rsid w:val="002C02D9"/>
    <w:rsid w:val="002C27A9"/>
    <w:rsid w:val="002C597A"/>
    <w:rsid w:val="002C6B10"/>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1F7A"/>
    <w:rsid w:val="0033378D"/>
    <w:rsid w:val="003423C0"/>
    <w:rsid w:val="0034351A"/>
    <w:rsid w:val="00346B39"/>
    <w:rsid w:val="003553E4"/>
    <w:rsid w:val="00355A7C"/>
    <w:rsid w:val="00364941"/>
    <w:rsid w:val="00365D32"/>
    <w:rsid w:val="00367832"/>
    <w:rsid w:val="00370460"/>
    <w:rsid w:val="0037363D"/>
    <w:rsid w:val="00375293"/>
    <w:rsid w:val="003820C0"/>
    <w:rsid w:val="00383C0D"/>
    <w:rsid w:val="00387212"/>
    <w:rsid w:val="00387D83"/>
    <w:rsid w:val="00390E24"/>
    <w:rsid w:val="00391FE1"/>
    <w:rsid w:val="0039422E"/>
    <w:rsid w:val="00394A9F"/>
    <w:rsid w:val="00397249"/>
    <w:rsid w:val="003974BE"/>
    <w:rsid w:val="003B0D79"/>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2EC3"/>
    <w:rsid w:val="004554A9"/>
    <w:rsid w:val="0045716A"/>
    <w:rsid w:val="004574B4"/>
    <w:rsid w:val="00457625"/>
    <w:rsid w:val="00461754"/>
    <w:rsid w:val="00461D0A"/>
    <w:rsid w:val="00473F6B"/>
    <w:rsid w:val="00475E2B"/>
    <w:rsid w:val="0048009A"/>
    <w:rsid w:val="00480FD8"/>
    <w:rsid w:val="004843F7"/>
    <w:rsid w:val="00486FAF"/>
    <w:rsid w:val="00490049"/>
    <w:rsid w:val="0049021E"/>
    <w:rsid w:val="004915C6"/>
    <w:rsid w:val="0049251C"/>
    <w:rsid w:val="00493D39"/>
    <w:rsid w:val="0049562F"/>
    <w:rsid w:val="00496B03"/>
    <w:rsid w:val="00497DD4"/>
    <w:rsid w:val="004A18C9"/>
    <w:rsid w:val="004A5AE6"/>
    <w:rsid w:val="004B0098"/>
    <w:rsid w:val="004B0450"/>
    <w:rsid w:val="004B2056"/>
    <w:rsid w:val="004B278C"/>
    <w:rsid w:val="004B34D7"/>
    <w:rsid w:val="004B3986"/>
    <w:rsid w:val="004B47BC"/>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A05"/>
    <w:rsid w:val="00525EB8"/>
    <w:rsid w:val="00526E1B"/>
    <w:rsid w:val="005300F4"/>
    <w:rsid w:val="00530800"/>
    <w:rsid w:val="00532B69"/>
    <w:rsid w:val="0053586F"/>
    <w:rsid w:val="005376B7"/>
    <w:rsid w:val="00540015"/>
    <w:rsid w:val="00540F12"/>
    <w:rsid w:val="005417F2"/>
    <w:rsid w:val="00541DE4"/>
    <w:rsid w:val="00541F02"/>
    <w:rsid w:val="00546131"/>
    <w:rsid w:val="00546405"/>
    <w:rsid w:val="00546E51"/>
    <w:rsid w:val="00552647"/>
    <w:rsid w:val="0055288C"/>
    <w:rsid w:val="0055455F"/>
    <w:rsid w:val="0056133A"/>
    <w:rsid w:val="00562785"/>
    <w:rsid w:val="00562C6A"/>
    <w:rsid w:val="00564C56"/>
    <w:rsid w:val="00571680"/>
    <w:rsid w:val="00572B41"/>
    <w:rsid w:val="00577DF3"/>
    <w:rsid w:val="00584AD5"/>
    <w:rsid w:val="005878F6"/>
    <w:rsid w:val="00592364"/>
    <w:rsid w:val="00592765"/>
    <w:rsid w:val="0059288A"/>
    <w:rsid w:val="00595F91"/>
    <w:rsid w:val="005A6F1F"/>
    <w:rsid w:val="005B1630"/>
    <w:rsid w:val="005B1A02"/>
    <w:rsid w:val="005B3784"/>
    <w:rsid w:val="005B3FD5"/>
    <w:rsid w:val="005B6C68"/>
    <w:rsid w:val="005B6D58"/>
    <w:rsid w:val="005C0293"/>
    <w:rsid w:val="005C232C"/>
    <w:rsid w:val="005C4491"/>
    <w:rsid w:val="005C4906"/>
    <w:rsid w:val="005C7699"/>
    <w:rsid w:val="005D24D6"/>
    <w:rsid w:val="005D6B87"/>
    <w:rsid w:val="005E1520"/>
    <w:rsid w:val="005E5914"/>
    <w:rsid w:val="005E7ECE"/>
    <w:rsid w:val="005F1470"/>
    <w:rsid w:val="005F185B"/>
    <w:rsid w:val="005F2D9C"/>
    <w:rsid w:val="005F2FE8"/>
    <w:rsid w:val="005F5EC9"/>
    <w:rsid w:val="005F6266"/>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39AE"/>
    <w:rsid w:val="00695082"/>
    <w:rsid w:val="00695F01"/>
    <w:rsid w:val="00696482"/>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22ACF"/>
    <w:rsid w:val="007250D2"/>
    <w:rsid w:val="00732E32"/>
    <w:rsid w:val="007337A0"/>
    <w:rsid w:val="007361C8"/>
    <w:rsid w:val="00740EE7"/>
    <w:rsid w:val="0074400E"/>
    <w:rsid w:val="00744B5E"/>
    <w:rsid w:val="00744E36"/>
    <w:rsid w:val="00744F46"/>
    <w:rsid w:val="0074539F"/>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00C1"/>
    <w:rsid w:val="007C2588"/>
    <w:rsid w:val="007C4232"/>
    <w:rsid w:val="007C69B9"/>
    <w:rsid w:val="007D3CFE"/>
    <w:rsid w:val="007D4D6F"/>
    <w:rsid w:val="007D6FC0"/>
    <w:rsid w:val="007D7F07"/>
    <w:rsid w:val="007E03E4"/>
    <w:rsid w:val="007E0A99"/>
    <w:rsid w:val="007E33DF"/>
    <w:rsid w:val="007E64D9"/>
    <w:rsid w:val="007E7A6C"/>
    <w:rsid w:val="007E7E25"/>
    <w:rsid w:val="007F2144"/>
    <w:rsid w:val="008024F3"/>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5205"/>
    <w:rsid w:val="00856B66"/>
    <w:rsid w:val="00856CD6"/>
    <w:rsid w:val="00860919"/>
    <w:rsid w:val="00863600"/>
    <w:rsid w:val="00864983"/>
    <w:rsid w:val="00865D14"/>
    <w:rsid w:val="008700E7"/>
    <w:rsid w:val="0087730C"/>
    <w:rsid w:val="008828F5"/>
    <w:rsid w:val="00883A98"/>
    <w:rsid w:val="00886609"/>
    <w:rsid w:val="0089148E"/>
    <w:rsid w:val="008936AA"/>
    <w:rsid w:val="00894078"/>
    <w:rsid w:val="008945E8"/>
    <w:rsid w:val="00897065"/>
    <w:rsid w:val="008A1688"/>
    <w:rsid w:val="008A2439"/>
    <w:rsid w:val="008A6CE2"/>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17F0"/>
    <w:rsid w:val="009429B2"/>
    <w:rsid w:val="009438B6"/>
    <w:rsid w:val="00944A69"/>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4EEA"/>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5855"/>
    <w:rsid w:val="009F7D4E"/>
    <w:rsid w:val="009F7FC4"/>
    <w:rsid w:val="00A00CEC"/>
    <w:rsid w:val="00A00D6C"/>
    <w:rsid w:val="00A00F58"/>
    <w:rsid w:val="00A011E1"/>
    <w:rsid w:val="00A0147A"/>
    <w:rsid w:val="00A04495"/>
    <w:rsid w:val="00A066CB"/>
    <w:rsid w:val="00A079CC"/>
    <w:rsid w:val="00A10A2B"/>
    <w:rsid w:val="00A1228C"/>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39A1"/>
    <w:rsid w:val="00C0456D"/>
    <w:rsid w:val="00C12F16"/>
    <w:rsid w:val="00C13451"/>
    <w:rsid w:val="00C1368E"/>
    <w:rsid w:val="00C15A77"/>
    <w:rsid w:val="00C20283"/>
    <w:rsid w:val="00C20D42"/>
    <w:rsid w:val="00C244E9"/>
    <w:rsid w:val="00C254AA"/>
    <w:rsid w:val="00C26542"/>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1621"/>
    <w:rsid w:val="00C9364F"/>
    <w:rsid w:val="00C94A1D"/>
    <w:rsid w:val="00C951EF"/>
    <w:rsid w:val="00C95504"/>
    <w:rsid w:val="00CA2B74"/>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76F9"/>
    <w:rsid w:val="00DA288B"/>
    <w:rsid w:val="00DA7E3F"/>
    <w:rsid w:val="00DB00E3"/>
    <w:rsid w:val="00DB1937"/>
    <w:rsid w:val="00DB1CB8"/>
    <w:rsid w:val="00DC6B21"/>
    <w:rsid w:val="00DD0E85"/>
    <w:rsid w:val="00DD1149"/>
    <w:rsid w:val="00DD477E"/>
    <w:rsid w:val="00DE2C3B"/>
    <w:rsid w:val="00DE6385"/>
    <w:rsid w:val="00DE6CA2"/>
    <w:rsid w:val="00DF0DC9"/>
    <w:rsid w:val="00DF2830"/>
    <w:rsid w:val="00DF4AA9"/>
    <w:rsid w:val="00DF4CED"/>
    <w:rsid w:val="00DF75AD"/>
    <w:rsid w:val="00E01371"/>
    <w:rsid w:val="00E01F66"/>
    <w:rsid w:val="00E04A1A"/>
    <w:rsid w:val="00E05A0C"/>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91E"/>
    <w:rsid w:val="00EF2F20"/>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39E"/>
    <w:rsid w:val="00F97AE6"/>
    <w:rsid w:val="00F97BC6"/>
    <w:rsid w:val="00FA0C02"/>
    <w:rsid w:val="00FA2AE0"/>
    <w:rsid w:val="00FA6606"/>
    <w:rsid w:val="00FA788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59F6"/>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paragraph" w:styleId="Obsah4">
    <w:name w:val="toc 4"/>
    <w:basedOn w:val="Normln"/>
    <w:next w:val="Normln"/>
    <w:autoRedefine/>
    <w:uiPriority w:val="39"/>
    <w:semiHidden/>
    <w:unhideWhenUsed/>
    <w:rsid w:val="004B47B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1FF1-4002-4E83-903B-92DBA9EA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10099</Words>
  <Characters>59586</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69546</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Puš Vojtěch</cp:lastModifiedBy>
  <cp:revision>6</cp:revision>
  <cp:lastPrinted>2023-07-27T10:39:00Z</cp:lastPrinted>
  <dcterms:created xsi:type="dcterms:W3CDTF">2025-03-25T09:55:00Z</dcterms:created>
  <dcterms:modified xsi:type="dcterms:W3CDTF">2025-04-25T12:56:00Z</dcterms:modified>
</cp:coreProperties>
</file>